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【轨物交流】实地参访拓视野，校企交流促共赢 —— 杭电师生走进轨物科技</w:t>
      </w:r>
    </w:p>
    <w:p>
      <w:pPr>
        <w:spacing w:after="50" w:line="360" w:lineRule="auto" w:beforeLines="100"/>
        <w:ind w:left="0"/>
        <w:jc w:val="left"/>
      </w:pPr>
      <w:bookmarkStart w:name="u7b447756" w:id="0"/>
      <w:bookmarkStart w:name="Oy6UA" w:id="1"/>
      <w:r>
        <w:rPr>
          <w:rFonts w:eastAsia="宋体" w:ascii="宋体"/>
        </w:rPr>
        <w:drawing>
          <wp:inline distT="0" distB="0" distL="0" distR="0">
            <wp:extent cx="5841999" cy="37972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72134" cy="641680"/>
                    </a:xfrm>
                    <a:prstGeom prst="rect">
                      <a:avLst/>
                    </a:prstGeom>
                  </pic:spPr>
                </pic:pic>
              </a:graphicData>
            </a:graphic>
          </wp:inline>
        </w:drawing>
      </w:r>
      <w:bookmarkEnd w:id="1"/>
    </w:p>
    <w:bookmarkEnd w:id="0"/>
    <w:bookmarkStart w:name="ua43921e6" w:id="2"/>
    <w:p>
      <w:pPr>
        <w:spacing w:after="50" w:line="360" w:lineRule="auto" w:beforeLines="100"/>
        <w:ind w:left="0"/>
        <w:jc w:val="left"/>
      </w:pPr>
      <w:r>
        <w:rPr>
          <w:rFonts w:ascii="宋体" w:hAnsi="Times New Roman" w:eastAsia="宋体"/>
          <w:b w:val="false"/>
          <w:i w:val="false"/>
          <w:color w:val="000000"/>
          <w:sz w:val="22"/>
        </w:rPr>
        <w:t>为深化校企联动，搭建产学研交流桥梁，助力学子接轨行业前沿、拓宽专业视野，近日，杭州电子科技大学电子信息学院师生一行莅临杭州轨物科技有限公司参观交流。公司创始人</w:t>
      </w:r>
      <w:r>
        <w:rPr>
          <w:rFonts w:ascii="宋体" w:hAnsi="Times New Roman" w:eastAsia="宋体"/>
          <w:b/>
          <w:i w:val="false"/>
          <w:color w:val="004347"/>
          <w:sz w:val="22"/>
          <w:u w:val="single"/>
        </w:rPr>
        <w:t>陈科明</w:t>
      </w:r>
      <w:r>
        <w:rPr>
          <w:rFonts w:ascii="宋体" w:hAnsi="Times New Roman" w:eastAsia="宋体"/>
          <w:b w:val="false"/>
          <w:i w:val="false"/>
          <w:color w:val="000000"/>
          <w:sz w:val="22"/>
        </w:rPr>
        <w:t>对杭电师生来访表示热烈欢迎。</w:t>
      </w:r>
    </w:p>
    <w:bookmarkEnd w:id="2"/>
    <w:bookmarkStart w:name="u26988047" w:id="3"/>
    <w:p>
      <w:pPr>
        <w:spacing w:after="50" w:line="360" w:lineRule="auto" w:beforeLines="100"/>
        <w:ind w:left="0"/>
        <w:jc w:val="left"/>
      </w:pPr>
      <w:bookmarkStart w:name="u2a4fa0ea" w:id="4"/>
      <w:r>
        <w:rPr>
          <w:rFonts w:eastAsia="宋体" w:ascii="宋体"/>
        </w:rPr>
        <w:drawing>
          <wp:inline distT="0" distB="0" distL="0" distR="0">
            <wp:extent cx="5841999" cy="226083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190266" cy="12457530"/>
                    </a:xfrm>
                    <a:prstGeom prst="rect">
                      <a:avLst/>
                    </a:prstGeom>
                  </pic:spPr>
                </pic:pic>
              </a:graphicData>
            </a:graphic>
          </wp:inline>
        </w:drawing>
      </w:r>
      <w:bookmarkEnd w:id="4"/>
    </w:p>
    <w:bookmarkEnd w:id="3"/>
    <w:bookmarkStart w:name="uf8c221e4" w:id="5"/>
    <w:p>
      <w:pPr>
        <w:spacing w:after="50" w:line="360" w:lineRule="auto" w:beforeLines="100"/>
        <w:ind w:left="0"/>
        <w:jc w:val="left"/>
      </w:pPr>
      <w:r>
        <w:rPr>
          <w:rFonts w:ascii="宋体" w:hAnsi="Times New Roman" w:eastAsia="宋体"/>
          <w:b w:val="false"/>
          <w:i w:val="false"/>
          <w:color w:val="000000"/>
          <w:sz w:val="22"/>
        </w:rPr>
        <w:t>参观过程中，轨物科技创始人</w:t>
      </w:r>
      <w:r>
        <w:rPr>
          <w:rFonts w:ascii="宋体" w:hAnsi="Times New Roman" w:eastAsia="宋体"/>
          <w:b/>
          <w:i w:val="false"/>
          <w:color w:val="004347"/>
          <w:sz w:val="22"/>
          <w:u w:val="single"/>
        </w:rPr>
        <w:t>陈科明</w:t>
      </w:r>
      <w:r>
        <w:rPr>
          <w:rFonts w:ascii="宋体" w:hAnsi="Times New Roman" w:eastAsia="宋体"/>
          <w:b w:val="false"/>
          <w:i w:val="false"/>
          <w:color w:val="000000"/>
          <w:sz w:val="22"/>
        </w:rPr>
        <w:t>全程陪同讲解，带领学院师生一行走访企业展厅，全方位、多角度介绍了轨物科技的发展历程、技术研发理念、核心产品核心竞争力以及整体市场布局情况。同时，他重点围绕“</w:t>
      </w:r>
      <w:r>
        <w:rPr>
          <w:rFonts w:ascii="宋体" w:hAnsi="Times New Roman" w:eastAsia="宋体"/>
          <w:b/>
          <w:i w:val="false"/>
          <w:color w:val="004347"/>
          <w:sz w:val="22"/>
        </w:rPr>
        <w:t>光伏清洁机器人智能控制与运维解决方案、科研仪器在线监测物联网解决方案</w:t>
      </w:r>
      <w:r>
        <w:rPr>
          <w:rFonts w:ascii="宋体" w:hAnsi="Times New Roman" w:eastAsia="宋体"/>
          <w:b w:val="false"/>
          <w:i w:val="false"/>
          <w:color w:val="000000"/>
          <w:sz w:val="22"/>
        </w:rPr>
        <w:t>”两大核心研发成果展开细致讲解，详细阐释了两大方案的核心技术优势、多元化应用场景以及市场化落地成效，让在场师生近距离接触数智化领域前沿技术与实战成果。</w:t>
      </w:r>
    </w:p>
    <w:bookmarkEnd w:id="5"/>
    <w:bookmarkStart w:name="ud7b32808" w:id="6"/>
    <w:p>
      <w:pPr>
        <w:spacing w:after="50" w:line="360" w:lineRule="auto" w:beforeLines="100"/>
        <w:ind w:left="0"/>
        <w:jc w:val="left"/>
      </w:pPr>
      <w:bookmarkStart w:name="udc23d5aa" w:id="7"/>
      <w:r>
        <w:rPr>
          <w:rFonts w:eastAsia="宋体" w:ascii="宋体"/>
        </w:rPr>
        <w:drawing>
          <wp:inline distT="0" distB="0" distL="0" distR="0">
            <wp:extent cx="5842000" cy="225498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173334" cy="12418778"/>
                    </a:xfrm>
                    <a:prstGeom prst="rect">
                      <a:avLst/>
                    </a:prstGeom>
                  </pic:spPr>
                </pic:pic>
              </a:graphicData>
            </a:graphic>
          </wp:inline>
        </w:drawing>
      </w:r>
      <w:bookmarkEnd w:id="7"/>
    </w:p>
    <w:bookmarkEnd w:id="6"/>
    <w:bookmarkStart w:name="ua281faca" w:id="8"/>
    <w:p>
      <w:pPr>
        <w:spacing w:after="50" w:line="360" w:lineRule="auto" w:beforeLines="100"/>
        <w:ind w:left="0"/>
        <w:jc w:val="left"/>
      </w:pPr>
      <w:r>
        <w:rPr>
          <w:rFonts w:ascii="宋体" w:hAnsi="Times New Roman" w:eastAsia="宋体"/>
          <w:b w:val="false"/>
          <w:i w:val="false"/>
          <w:color w:val="000000"/>
          <w:sz w:val="22"/>
        </w:rPr>
        <w:t>分享交流中，</w:t>
      </w:r>
      <w:r>
        <w:rPr>
          <w:rFonts w:ascii="宋体" w:hAnsi="Times New Roman" w:eastAsia="宋体"/>
          <w:b/>
          <w:i w:val="false"/>
          <w:color w:val="004347"/>
          <w:sz w:val="22"/>
          <w:u w:val="single"/>
        </w:rPr>
        <w:t>陈科明</w:t>
      </w:r>
      <w:r>
        <w:rPr>
          <w:rFonts w:ascii="宋体" w:hAnsi="Times New Roman" w:eastAsia="宋体"/>
          <w:b w:val="false"/>
          <w:i w:val="false"/>
          <w:color w:val="000000"/>
          <w:sz w:val="22"/>
        </w:rPr>
        <w:t>介绍了企业核心发展理念。他表示，轨物科技多年来深耕工业数智化领域，始终将技术创新作为企业核心发展驱动力，紧跟工业设备智能化升级发展趋势，聚焦能源管理、科研仪器运维等细分领域的智能化、数字化转型需求，持续打磨高效、稳定、可落地的数字化解决方案。企业始终秉持助力行业降本增效、推动产业绿色升级的高质量发展理念，以硬核技术赋能传统产业智能化革新。</w:t>
      </w:r>
    </w:p>
    <w:bookmarkEnd w:id="8"/>
    <w:bookmarkStart w:name="u3b1b87e9" w:id="9"/>
    <w:p>
      <w:pPr>
        <w:spacing w:after="50" w:line="360" w:lineRule="auto" w:beforeLines="100"/>
        <w:ind w:left="0"/>
        <w:jc w:val="left"/>
      </w:pPr>
      <w:r>
        <w:rPr>
          <w:rFonts w:ascii="宋体" w:hAnsi="Times New Roman" w:eastAsia="宋体"/>
          <w:b w:val="false"/>
          <w:i w:val="false"/>
          <w:color w:val="000000"/>
          <w:sz w:val="22"/>
        </w:rPr>
        <w:t>现场交流环节，校企双方围绕行业前沿技术发展趋势、专业人才培养模式、高校实践教学落地、产学研项目合作等多个核心议题展开深入探讨，互动氛围热烈。学院师生结合专业学习与行业认知积极提问交流，深入了解企业技术研发流程、人才需求标准以及行业发展现状，收获颇丰。</w:t>
      </w:r>
    </w:p>
    <w:bookmarkEnd w:id="9"/>
    <w:bookmarkStart w:name="ue57b1d77" w:id="10"/>
    <w:p>
      <w:pPr>
        <w:spacing w:after="50" w:line="360" w:lineRule="auto" w:beforeLines="100"/>
        <w:ind w:left="0"/>
        <w:jc w:val="left"/>
      </w:pPr>
      <w:bookmarkStart w:name="uc6d6b1c2" w:id="11"/>
      <w:r>
        <w:rPr>
          <w:rFonts w:eastAsia="宋体" w:ascii="宋体"/>
        </w:rPr>
        <w:drawing>
          <wp:inline distT="0" distB="0" distL="0" distR="0">
            <wp:extent cx="5842000" cy="226083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2173334" cy="12450951"/>
                    </a:xfrm>
                    <a:prstGeom prst="rect">
                      <a:avLst/>
                    </a:prstGeom>
                  </pic:spPr>
                </pic:pic>
              </a:graphicData>
            </a:graphic>
          </wp:inline>
        </w:drawing>
      </w:r>
      <w:bookmarkEnd w:id="11"/>
    </w:p>
    <w:bookmarkEnd w:id="10"/>
    <w:bookmarkStart w:name="u82bc0591" w:id="12"/>
    <w:p>
      <w:pPr>
        <w:spacing w:after="50" w:line="360" w:lineRule="auto" w:beforeLines="100"/>
        <w:ind w:left="0"/>
        <w:jc w:val="left"/>
      </w:pPr>
      <w:r>
        <w:rPr>
          <w:rFonts w:ascii="宋体" w:hAnsi="Times New Roman" w:eastAsia="宋体"/>
          <w:b w:val="false"/>
          <w:i w:val="false"/>
          <w:color w:val="000000"/>
          <w:sz w:val="22"/>
        </w:rPr>
        <w:t>此次校企参访交流活动，为高校学子搭建了走出课堂、走进企业的实践平台，让学生们直观感受数智化行业的发展实况与技术前沿，有效打通了理论学习与产业实践的壁垒，进一步开阔了师生的行业视野。同时，本次活动也紧密了校企双方的沟通联系，为后续深化</w:t>
      </w:r>
      <w:r>
        <w:rPr>
          <w:rFonts w:ascii="宋体" w:hAnsi="Times New Roman" w:eastAsia="宋体"/>
          <w:b/>
          <w:i w:val="false"/>
          <w:color w:val="004347"/>
          <w:sz w:val="22"/>
        </w:rPr>
        <w:t>产学研融合、共建实践教学基地、联合培养高素质专业人才、推进技术成果转化</w:t>
      </w:r>
      <w:r>
        <w:rPr>
          <w:rFonts w:ascii="宋体" w:hAnsi="Times New Roman" w:eastAsia="宋体"/>
          <w:b w:val="false"/>
          <w:i w:val="false"/>
          <w:color w:val="000000"/>
          <w:sz w:val="22"/>
        </w:rPr>
        <w:t>等合作奠定了坚实基础。未来，双方将持续深化校企协同，依托高校科研人才优势与企业产业技术优势，双向赋能、互利共赢，共同助力数字智能产业高质量发展。</w:t>
      </w:r>
    </w:p>
    <w:bookmarkEnd w:id="12"/>
    <w:bookmarkStart w:name="u9cecc6cf" w:id="13"/>
    <w:p>
      <w:pPr>
        <w:spacing w:after="50" w:line="360" w:lineRule="auto" w:beforeLines="100"/>
        <w:ind w:left="0"/>
        <w:jc w:val="left"/>
      </w:pPr>
      <w:bookmarkStart w:name="HF6a8" w:id="14"/>
      <w:r>
        <w:rPr>
          <w:rFonts w:eastAsia="宋体" w:ascii="宋体"/>
        </w:rPr>
        <w:drawing>
          <wp:inline distT="0" distB="0" distL="0" distR="0">
            <wp:extent cx="5842000" cy="161816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89334" cy="2157553"/>
                    </a:xfrm>
                    <a:prstGeom prst="rect">
                      <a:avLst/>
                    </a:prstGeom>
                  </pic:spPr>
                </pic:pic>
              </a:graphicData>
            </a:graphic>
          </wp:inline>
        </w:drawing>
      </w:r>
      <w:bookmarkEnd w:id="14"/>
    </w:p>
    <w:bookmarkEnd w:id="13"/>
    <w:bookmarkStart w:name="u8d2b3d07" w:id="15"/>
    <w:p>
      <w:pPr>
        <w:spacing w:after="50" w:line="360" w:lineRule="auto" w:beforeLines="100"/>
        <w:ind w:left="0"/>
        <w:jc w:val="left"/>
      </w:pPr>
      <w:bookmarkStart w:name="ue00a6830" w:id="16"/>
      <w:r>
        <w:rPr>
          <w:rFonts w:eastAsia="宋体" w:ascii="宋体"/>
        </w:rPr>
        <w:drawing>
          <wp:inline distT="0" distB="0" distL="0" distR="0">
            <wp:extent cx="5842000" cy="80093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574000" cy="28206954"/>
                    </a:xfrm>
                    <a:prstGeom prst="rect">
                      <a:avLst/>
                    </a:prstGeom>
                  </pic:spPr>
                </pic:pic>
              </a:graphicData>
            </a:graphic>
          </wp:inline>
        </w:drawing>
      </w:r>
      <w:bookmarkEnd w:id="16"/>
    </w:p>
    <w:bookmarkEnd w:id="15"/>
    <w:bookmarkStart w:name="ubd68c99d" w:id="17"/>
    <w:p>
      <w:pPr>
        <w:spacing w:after="50" w:line="360" w:lineRule="auto" w:beforeLines="100"/>
        <w:ind w:left="0"/>
        <w:jc w:val="left"/>
      </w:pPr>
      <w:bookmarkStart w:name="pdHGx" w:id="18"/>
      <w:r>
        <w:rPr>
          <w:rFonts w:eastAsia="宋体" w:ascii="宋体"/>
        </w:rPr>
        <w:drawing>
          <wp:inline distT="0" distB="0" distL="0" distR="0">
            <wp:extent cx="5841999" cy="47903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872134" cy="809504"/>
                    </a:xfrm>
                    <a:prstGeom prst="rect">
                      <a:avLst/>
                    </a:prstGeom>
                  </pic:spPr>
                </pic:pic>
              </a:graphicData>
            </a:graphic>
          </wp:inline>
        </w:drawing>
      </w:r>
      <w:bookmarkEnd w:id="18"/>
    </w:p>
    <w:bookmarkEnd w:id="17"/>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