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【轨物交流】校企联动促交流 产学研融共发展｜杭州电子科技大学国际夏令营师生到访轨物科技参观交流</w:t>
      </w:r>
    </w:p>
    <w:p>
      <w:pPr>
        <w:spacing w:after="50" w:line="360" w:lineRule="auto" w:beforeLines="100"/>
        <w:ind w:left="0"/>
        <w:jc w:val="left"/>
      </w:pPr>
      <w:bookmarkStart w:name="u84aaf340" w:id="0"/>
      <w:bookmarkStart w:name="Oy6UA"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4dcbc3ba" w:id="2"/>
    <w:p>
      <w:pPr>
        <w:spacing w:after="50" w:line="360" w:lineRule="auto" w:beforeLines="100"/>
        <w:ind w:left="0"/>
        <w:jc w:val="left"/>
      </w:pPr>
      <w:r>
        <w:rPr>
          <w:rFonts w:ascii="宋体" w:hAnsi="Times New Roman" w:eastAsia="宋体"/>
          <w:b w:val="false"/>
          <w:i w:val="false"/>
          <w:color w:val="000000"/>
          <w:sz w:val="22"/>
        </w:rPr>
        <w:t>为搭建高校与企业沟通桥梁，助力青年学子了解产业前沿技术动态，深化校企产学研协同合作，近日，杭州电子科技大学国际夏令营师生代表团一行莅临杭州轨物科技有限公司参观学习、座谈交流。轨物科技首席科学家</w:t>
      </w:r>
      <w:r>
        <w:rPr>
          <w:rFonts w:ascii="宋体" w:hAnsi="Times New Roman" w:eastAsia="宋体"/>
          <w:b/>
          <w:i w:val="false"/>
          <w:color w:val="004347"/>
          <w:sz w:val="22"/>
          <w:u w:val="single"/>
        </w:rPr>
        <w:t>倪凯</w:t>
      </w:r>
      <w:r>
        <w:rPr>
          <w:rFonts w:ascii="宋体" w:hAnsi="Times New Roman" w:eastAsia="宋体"/>
          <w:b w:val="false"/>
          <w:i w:val="false"/>
          <w:color w:val="000000"/>
          <w:sz w:val="22"/>
        </w:rPr>
        <w:t>热情接待来访师生，并全程陪同参观讲解。</w:t>
      </w:r>
    </w:p>
    <w:bookmarkEnd w:id="2"/>
    <w:bookmarkStart w:name="ub84175cf" w:id="3"/>
    <w:p>
      <w:pPr>
        <w:spacing w:after="50" w:line="360" w:lineRule="auto" w:beforeLines="100"/>
        <w:ind w:left="0"/>
        <w:jc w:val="left"/>
      </w:pPr>
      <w:bookmarkStart w:name="ud6c10b2f" w:id="4"/>
      <w:r>
        <w:rPr>
          <w:rFonts w:eastAsia="宋体" w:ascii="宋体"/>
        </w:rPr>
        <w:drawing>
          <wp:inline distT="0" distB="0" distL="0" distR="0">
            <wp:extent cx="5842000" cy="237183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06133" cy="6173636"/>
                    </a:xfrm>
                    <a:prstGeom prst="rect">
                      <a:avLst/>
                    </a:prstGeom>
                  </pic:spPr>
                </pic:pic>
              </a:graphicData>
            </a:graphic>
          </wp:inline>
        </w:drawing>
      </w:r>
      <w:bookmarkEnd w:id="4"/>
    </w:p>
    <w:bookmarkEnd w:id="3"/>
    <w:bookmarkStart w:name="u8acb45fc" w:id="5"/>
    <w:p>
      <w:pPr>
        <w:spacing w:after="50" w:line="360" w:lineRule="auto" w:beforeLines="100"/>
        <w:ind w:left="0"/>
        <w:jc w:val="left"/>
      </w:pPr>
      <w:r>
        <w:rPr>
          <w:rFonts w:ascii="宋体" w:hAnsi="Times New Roman" w:eastAsia="宋体"/>
          <w:b w:val="false"/>
          <w:i w:val="false"/>
          <w:color w:val="000000"/>
          <w:sz w:val="22"/>
        </w:rPr>
        <w:t>参观期间，</w:t>
      </w:r>
      <w:r>
        <w:rPr>
          <w:rFonts w:ascii="宋体" w:hAnsi="Times New Roman" w:eastAsia="宋体"/>
          <w:b/>
          <w:i w:val="false"/>
          <w:color w:val="004347"/>
          <w:sz w:val="22"/>
          <w:u w:val="single"/>
        </w:rPr>
        <w:t>倪凯老师</w:t>
      </w:r>
      <w:r>
        <w:rPr>
          <w:rFonts w:ascii="宋体" w:hAnsi="Times New Roman" w:eastAsia="宋体"/>
          <w:b w:val="false"/>
          <w:i w:val="false"/>
          <w:color w:val="000000"/>
          <w:sz w:val="22"/>
        </w:rPr>
        <w:t>带领杭电夏令营师生依次走进企业展厅，全面介绍了“</w:t>
      </w:r>
      <w:r>
        <w:rPr>
          <w:rFonts w:ascii="宋体" w:hAnsi="Times New Roman" w:eastAsia="宋体"/>
          <w:b/>
          <w:i w:val="false"/>
          <w:color w:val="004347"/>
          <w:sz w:val="22"/>
        </w:rPr>
        <w:t>光伏清洁机器人智能控制与运维解决方案、科研仪器在线监测物联网解决方案</w:t>
      </w:r>
      <w:r>
        <w:rPr>
          <w:rFonts w:ascii="宋体" w:hAnsi="Times New Roman" w:eastAsia="宋体"/>
          <w:b/>
          <w:i w:val="false"/>
          <w:color w:val="000000"/>
          <w:sz w:val="22"/>
        </w:rPr>
        <w:t>”</w:t>
      </w:r>
      <w:r>
        <w:rPr>
          <w:rFonts w:ascii="宋体" w:hAnsi="Times New Roman" w:eastAsia="宋体"/>
          <w:b w:val="false"/>
          <w:i w:val="false"/>
          <w:color w:val="000000"/>
          <w:sz w:val="22"/>
        </w:rPr>
        <w:t>两大核心自研成果展开深度分享。讲解过程中，他结合真实项目案例，分别从底层核心技术壁垒、多元化落地应用场景、项目实际运行成效三大维度，全方位拆解产品技术逻辑与产业价值，直观展示了数智化技术赋能实体经济转型升级的实际成果。</w:t>
      </w:r>
    </w:p>
    <w:bookmarkEnd w:id="5"/>
    <w:bookmarkStart w:name="uaf931d57" w:id="6"/>
    <w:p>
      <w:pPr>
        <w:spacing w:after="50" w:line="360" w:lineRule="auto" w:beforeLines="100"/>
        <w:ind w:left="0"/>
        <w:jc w:val="left"/>
      </w:pPr>
      <w:bookmarkStart w:name="u94043bc3" w:id="7"/>
      <w:r>
        <w:rPr>
          <w:rFonts w:eastAsia="宋体" w:ascii="宋体"/>
        </w:rPr>
        <w:drawing>
          <wp:inline distT="0" distB="0" distL="0" distR="0">
            <wp:extent cx="5842000" cy="23366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73867" cy="6109200"/>
                    </a:xfrm>
                    <a:prstGeom prst="rect">
                      <a:avLst/>
                    </a:prstGeom>
                  </pic:spPr>
                </pic:pic>
              </a:graphicData>
            </a:graphic>
          </wp:inline>
        </w:drawing>
      </w:r>
      <w:bookmarkEnd w:id="7"/>
    </w:p>
    <w:bookmarkEnd w:id="6"/>
    <w:bookmarkStart w:name="udfc50dbc" w:id="8"/>
    <w:p>
      <w:pPr>
        <w:spacing w:after="50" w:line="360" w:lineRule="auto" w:beforeLines="100"/>
        <w:ind w:left="0"/>
        <w:jc w:val="left"/>
      </w:pPr>
      <w:r>
        <w:rPr>
          <w:rFonts w:ascii="宋体" w:hAnsi="Times New Roman" w:eastAsia="宋体"/>
          <w:b/>
          <w:i w:val="false"/>
          <w:color w:val="004347"/>
          <w:sz w:val="22"/>
          <w:u w:val="single"/>
        </w:rPr>
        <w:t>倪凯老师</w:t>
      </w:r>
      <w:r>
        <w:rPr>
          <w:rFonts w:ascii="宋体" w:hAnsi="Times New Roman" w:eastAsia="宋体"/>
          <w:b w:val="false"/>
          <w:i w:val="false"/>
          <w:color w:val="000000"/>
          <w:sz w:val="22"/>
        </w:rPr>
        <w:t>在交流中指出，长期以来，轨物科技始终深耕工业数智化细分赛道，坚持将自主技术创新作为企业核心发展驱动力，紧跟国内工业设备智能化、数字化升级的行业大势。立足能源管理、科研仪器运维两大核心应用领域，公司持续打磨高效稳定、落地性强、性价比高的数字化软硬件一体化解决方案，助力各大合作企业降低运营成本、提升运维效率，以硬核科技力量助力各行各业绿色低碳转型与高质量发展。</w:t>
      </w:r>
    </w:p>
    <w:bookmarkEnd w:id="8"/>
    <w:bookmarkStart w:name="u44f94ee9" w:id="9"/>
    <w:p>
      <w:pPr>
        <w:spacing w:after="50" w:line="360" w:lineRule="auto" w:beforeLines="100"/>
        <w:ind w:left="0"/>
        <w:jc w:val="left"/>
      </w:pPr>
      <w:bookmarkStart w:name="ua0dda134" w:id="10"/>
      <w:r>
        <w:rPr>
          <w:rFonts w:eastAsia="宋体" w:ascii="宋体"/>
        </w:rPr>
        <w:drawing>
          <wp:inline distT="0" distB="0" distL="0" distR="0">
            <wp:extent cx="5842000" cy="237170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56933" cy="6193936"/>
                    </a:xfrm>
                    <a:prstGeom prst="rect">
                      <a:avLst/>
                    </a:prstGeom>
                  </pic:spPr>
                </pic:pic>
              </a:graphicData>
            </a:graphic>
          </wp:inline>
        </w:drawing>
      </w:r>
      <w:bookmarkEnd w:id="10"/>
    </w:p>
    <w:bookmarkEnd w:id="9"/>
    <w:bookmarkStart w:name="u3c4ac3c6" w:id="11"/>
    <w:p>
      <w:pPr>
        <w:spacing w:after="50" w:line="360" w:lineRule="auto" w:beforeLines="100"/>
        <w:ind w:left="0"/>
        <w:jc w:val="left"/>
      </w:pPr>
      <w:r>
        <w:rPr>
          <w:rFonts w:ascii="宋体" w:hAnsi="Times New Roman" w:eastAsia="宋体"/>
          <w:b w:val="false"/>
          <w:i w:val="false"/>
          <w:color w:val="000000"/>
          <w:sz w:val="22"/>
        </w:rPr>
        <w:t>本次参观交流活动，搭建了高校学子走进企业、贴近产业的实景平台，让国际夏令营的同学们跳出课本理论，近距离接触工业数智化一线前沿技术，清晰了解行业发展现状与未来人才需求方向。同时，本次活动进一步打通校企沟通壁垒，夯实了双方合作基础。</w:t>
      </w:r>
    </w:p>
    <w:bookmarkEnd w:id="11"/>
    <w:bookmarkStart w:name="u5776048c" w:id="12"/>
    <w:p>
      <w:pPr>
        <w:spacing w:after="50" w:line="360" w:lineRule="auto" w:beforeLines="100"/>
        <w:ind w:left="0"/>
        <w:jc w:val="left"/>
      </w:pPr>
      <w:r>
        <w:rPr>
          <w:rFonts w:ascii="宋体" w:hAnsi="Times New Roman" w:eastAsia="宋体"/>
          <w:b w:val="false"/>
          <w:i w:val="false"/>
          <w:color w:val="000000"/>
          <w:sz w:val="22"/>
        </w:rPr>
        <w:t>未来，杭州轨物科技将持续深化</w:t>
      </w:r>
      <w:r>
        <w:rPr>
          <w:rFonts w:ascii="宋体" w:hAnsi="Times New Roman" w:eastAsia="宋体"/>
          <w:b/>
          <w:i w:val="false"/>
          <w:color w:val="004347"/>
          <w:sz w:val="22"/>
        </w:rPr>
        <w:t>全方位、多层次产学研合作，聚焦人才联合培养、科研项目共建、技术成果转化</w:t>
      </w:r>
      <w:r>
        <w:rPr>
          <w:rFonts w:ascii="宋体" w:hAnsi="Times New Roman" w:eastAsia="宋体"/>
          <w:b w:val="false"/>
          <w:i w:val="false"/>
          <w:color w:val="000000"/>
          <w:sz w:val="22"/>
        </w:rPr>
        <w:t>等关键方向发力，实现高校科研资源与企业产业资源双向互补、优势共享，携手培育高素质应用型科创人才，共同推动行业技术迭代与产业创新升级。</w:t>
      </w:r>
    </w:p>
    <w:bookmarkEnd w:id="12"/>
    <w:bookmarkStart w:name="u351fabe3" w:id="13"/>
    <w:p>
      <w:pPr>
        <w:spacing w:after="50" w:line="360" w:lineRule="auto" w:beforeLines="100"/>
        <w:ind w:left="0"/>
        <w:jc w:val="left"/>
      </w:pPr>
      <w:bookmarkStart w:name="HF6a8" w:id="14"/>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9334" cy="2157553"/>
                    </a:xfrm>
                    <a:prstGeom prst="rect">
                      <a:avLst/>
                    </a:prstGeom>
                  </pic:spPr>
                </pic:pic>
              </a:graphicData>
            </a:graphic>
          </wp:inline>
        </w:drawing>
      </w:r>
      <w:bookmarkEnd w:id="14"/>
    </w:p>
    <w:bookmarkEnd w:id="13"/>
    <w:bookmarkStart w:name="u8d2b3d07" w:id="15"/>
    <w:p>
      <w:pPr>
        <w:spacing w:after="50" w:line="360" w:lineRule="auto" w:beforeLines="100"/>
        <w:ind w:left="0"/>
        <w:jc w:val="left"/>
      </w:pPr>
      <w:bookmarkStart w:name="ue00a6830" w:id="16"/>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574000" cy="28206954"/>
                    </a:xfrm>
                    <a:prstGeom prst="rect">
                      <a:avLst/>
                    </a:prstGeom>
                  </pic:spPr>
                </pic:pic>
              </a:graphicData>
            </a:graphic>
          </wp:inline>
        </w:drawing>
      </w:r>
      <w:bookmarkEnd w:id="16"/>
    </w:p>
    <w:bookmarkEnd w:id="15"/>
    <w:bookmarkStart w:name="ubd68c99d" w:id="17"/>
    <w:p>
      <w:pPr>
        <w:spacing w:after="50" w:line="360" w:lineRule="auto" w:beforeLines="100"/>
        <w:ind w:left="0"/>
        <w:jc w:val="left"/>
      </w:pPr>
      <w:bookmarkStart w:name="pdHGx" w:id="18"/>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72134" cy="809504"/>
                    </a:xfrm>
                    <a:prstGeom prst="rect">
                      <a:avLst/>
                    </a:prstGeom>
                  </pic:spPr>
                </pic:pic>
              </a:graphicData>
            </a:graphic>
          </wp:inline>
        </w:drawing>
      </w:r>
      <w:bookmarkEnd w:id="18"/>
    </w:p>
    <w:bookmarkEnd w:id="1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