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image/png" PartName="/word/media/document_image_rId8.png"/>
  <Override ContentType="image/png" PartName="/word/media/document_image_rId9.png"/>
  <Override ContentType="image/png" PartName="/word/media/document_image_rId10.png"/>
  <Override ContentType="image/png" PartName="/word/media/document_image_rId11.png"/>
  <Override ContentType="image/png" PartName="/word/media/document_image_rId12.png"/>
  <Override ContentType="image/png" PartName="/word/media/document_image_rId13.png"/>
  <Override ContentType="image/png" PartName="/word/media/document_image_rId14.png"/>
  <Override ContentType="image/png" PartName="/word/media/document_image_rId15.png"/>
  <Override ContentType="image/png" PartName="/word/media/document_image_rId16.png"/>
  <Override ContentType="image/png" PartName="/word/media/document_image_rId17.png"/>
  <Override ContentType="image/png" PartName="/word/media/document_image_rId18.png"/>
  <Override ContentType="image/png" PartName="/word/media/document_image_rId19.png"/>
  <Override ContentType="image/png" PartName="/word/media/document_image_rId20.png"/>
  <Override ContentType="image/png" PartName="/word/media/document_image_rId21.png"/>
  <Override ContentType="image/png" PartName="/word/media/document_image_rId22.png"/>
  <Override ContentType="image/png" PartName="/word/media/document_image_rId23.png"/>
  <Override ContentType="image/png" PartName="/word/media/document_image_rId24.png"/>
  <Override ContentType="image/png" PartName="/word/media/document_image_rId25.png"/>
  <Override ContentType="image/png" PartName="/word/media/document_image_rId26.png"/>
  <Override ContentType="image/png" PartName="/word/media/document_image_rId27.png"/>
  <Override ContentType="image/png" PartName="/word/media/document_image_rId28.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【技术白皮书】焕新存量，智赢未来：中国老旧光伏电站升级改造白皮书</w:t>
      </w:r>
    </w:p>
    <w:p>
      <w:pPr>
        <w:pStyle w:val="Heading1"/>
        <w:spacing w:after="50" w:line="360" w:lineRule="auto" w:beforeLines="100"/>
        <w:ind w:left="0"/>
        <w:jc w:val="left"/>
      </w:pPr>
      <w:bookmarkStart w:name="Xsqx6" w:id="0"/>
      <w:bookmarkStart w:name="bDjey" w:id="1"/>
      <w:r>
        <w:rPr>
          <w:rFonts w:eastAsia="宋体" w:ascii="宋体"/>
        </w:rPr>
        <w:drawing>
          <wp:inline distT="0" distB="0" distL="0" distR="0">
            <wp:extent cx="5842000" cy="37972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2487466" cy="1461655"/>
                    </a:xfrm>
                    <a:prstGeom prst="rect">
                      <a:avLst/>
                    </a:prstGeom>
                  </pic:spPr>
                </pic:pic>
              </a:graphicData>
            </a:graphic>
          </wp:inline>
        </w:drawing>
      </w:r>
      <w:bookmarkEnd w:id="1"/>
    </w:p>
    <w:bookmarkEnd w:id="0"/>
    <w:bookmarkStart w:name="u41609107" w:id="2"/>
    <w:p>
      <w:pPr>
        <w:spacing w:after="50" w:line="360" w:lineRule="auto" w:beforeLines="100"/>
        <w:ind w:left="0"/>
        <w:jc w:val="left"/>
      </w:pPr>
      <w:bookmarkStart w:name="TW9zn" w:id="3"/>
      <w:r>
        <w:rPr>
          <w:rFonts w:eastAsia="宋体" w:ascii="宋体"/>
        </w:rPr>
        <w:drawing>
          <wp:inline distT="0" distB="0" distL="0" distR="0">
            <wp:extent cx="5842000" cy="36803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22487466" cy="1416681"/>
                    </a:xfrm>
                    <a:prstGeom prst="rect">
                      <a:avLst/>
                    </a:prstGeom>
                  </pic:spPr>
                </pic:pic>
              </a:graphicData>
            </a:graphic>
          </wp:inline>
        </w:drawing>
      </w:r>
      <w:bookmarkEnd w:id="3"/>
    </w:p>
    <w:bookmarkEnd w:id="2"/>
    <w:bookmarkStart w:name="u3e266537" w:id="4"/>
    <w:p>
      <w:pPr>
        <w:spacing w:after="50" w:line="360" w:lineRule="auto" w:beforeLines="100"/>
        <w:ind w:left="0"/>
        <w:jc w:val="left"/>
      </w:pPr>
      <w:bookmarkStart w:name="u68b6ab5a" w:id="5"/>
      <w:r>
        <w:rPr>
          <w:rFonts w:eastAsia="宋体" w:ascii="宋体"/>
        </w:rPr>
        <w:t>[MISSING IMAGE: ,  ]</w:t>
      </w:r>
      <w:bookmarkEnd w:id="5"/>
    </w:p>
    <w:bookmarkEnd w:id="4"/>
    <w:bookmarkStart w:name="u057b2a48" w:id="6"/>
    <w:p>
      <w:pPr>
        <w:spacing w:after="50" w:line="360" w:lineRule="auto" w:beforeLines="100"/>
        <w:ind w:left="0"/>
        <w:jc w:val="left"/>
      </w:pPr>
      <w:bookmarkStart w:name="ub2910302" w:id="7"/>
      <w:r>
        <w:rPr>
          <w:rFonts w:eastAsia="宋体" w:ascii="宋体"/>
        </w:rPr>
        <w:drawing>
          <wp:inline distT="0" distB="0" distL="0" distR="0">
            <wp:extent cx="5842000" cy="130860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7526000" cy="3925824"/>
                    </a:xfrm>
                    <a:prstGeom prst="rect">
                      <a:avLst/>
                    </a:prstGeom>
                  </pic:spPr>
                </pic:pic>
              </a:graphicData>
            </a:graphic>
          </wp:inline>
        </w:drawing>
      </w:r>
      <w:bookmarkEnd w:id="7"/>
    </w:p>
    <w:bookmarkEnd w:id="6"/>
    <w:bookmarkStart w:name="f9cbfe9cfbb3ac3bfbfa449600024e7f" w:id="8"/>
    <w:p>
      <w:pPr>
        <w:spacing w:after="50" w:line="360" w:lineRule="auto" w:beforeLines="100"/>
        <w:ind w:left="0"/>
        <w:jc w:val="left"/>
      </w:pPr>
      <w:r>
        <w:rPr>
          <w:rFonts w:ascii="宋体" w:hAnsi="Times New Roman" w:eastAsia="宋体"/>
          <w:b w:val="false"/>
          <w:i w:val="false"/>
          <w:color w:val="000000"/>
          <w:sz w:val="22"/>
        </w:rPr>
        <w:t>中国，作为全球光伏产业的引领者，其光伏发电新增装机容量已连续十一年、累计装机量连续九年稳居世界第一。在这场波澜壮阔的能源革命背后，一个巨大的存量资产市场正悄然浮现。随着产业的飞速发展，大批在早期建设的光伏电站正逐步迈入其中后期运营阶段，部分甚至即将进入设计上的“退役期”。设备老化、效率衰减、运维成本高等问题，正成为这些存量资产价值持续释放的现实挑战。</w:t>
      </w:r>
    </w:p>
    <w:bookmarkEnd w:id="8"/>
    <w:bookmarkStart w:name="4e37bc95a6d6487b85df5c7876f5894c" w:id="9"/>
    <w:p>
      <w:pPr>
        <w:spacing w:after="50" w:line="360" w:lineRule="auto" w:beforeLines="100"/>
        <w:ind w:left="0"/>
        <w:jc w:val="left"/>
      </w:pPr>
      <w:r>
        <w:rPr>
          <w:rFonts w:ascii="宋体" w:hAnsi="Times New Roman" w:eastAsia="宋体"/>
          <w:b w:val="false"/>
          <w:i w:val="false"/>
          <w:color w:val="000000"/>
          <w:sz w:val="22"/>
        </w:rPr>
        <w:t>然而，挑战与机遇并存。过去十余年光伏技术的飞跃式进步与成本的断崖式下降，为这些老旧电站的价值重塑创造了前所未有的历史性机遇。一个规模庞大的存量资产升级改造市场正在被激活。</w:t>
      </w:r>
    </w:p>
    <w:bookmarkEnd w:id="9"/>
    <w:bookmarkStart w:name="54cf4f08e43669719d4645b79b7d2eef" w:id="10"/>
    <w:p>
      <w:pPr>
        <w:spacing w:after="50" w:line="360" w:lineRule="auto" w:beforeLines="100"/>
        <w:ind w:left="0"/>
        <w:jc w:val="left"/>
      </w:pPr>
      <w:r>
        <w:rPr>
          <w:rFonts w:ascii="宋体" w:hAnsi="Times New Roman" w:eastAsia="宋体"/>
          <w:b w:val="false"/>
          <w:i w:val="false"/>
          <w:color w:val="000000"/>
          <w:sz w:val="22"/>
        </w:rPr>
        <w:t>本白皮书的核心目的，在于系统性地剖析</w:t>
      </w:r>
      <w:r>
        <w:rPr>
          <w:rFonts w:ascii="宋体" w:hAnsi="Times New Roman" w:eastAsia="宋体"/>
          <w:b/>
          <w:i w:val="false"/>
          <w:color w:val="07787e"/>
          <w:sz w:val="22"/>
        </w:rPr>
        <w:t>老旧光伏电站进行技术升级改造</w:t>
      </w:r>
      <w:r>
        <w:rPr>
          <w:rFonts w:ascii="宋体" w:hAnsi="Times New Roman" w:eastAsia="宋体"/>
          <w:b w:val="false"/>
          <w:i w:val="false"/>
          <w:color w:val="000000"/>
          <w:sz w:val="22"/>
        </w:rPr>
        <w:t>的紧迫性、核心技术路径、潜在经济效益与广阔市场潜力。我们旨在通过深入的分析与清晰的阐述，为光伏行业的资产所有者、投资者、技术服务商以及政策制定者提供一份全面的决策依据，共同把握这一历史性的产业机遇。</w:t>
      </w:r>
    </w:p>
    <w:bookmarkEnd w:id="10"/>
    <w:bookmarkStart w:name="u72bf7a35" w:id="11"/>
    <w:p>
      <w:pPr>
        <w:spacing w:after="50" w:line="360" w:lineRule="auto" w:beforeLines="100"/>
        <w:ind w:left="0"/>
        <w:jc w:val="left"/>
      </w:pPr>
      <w:bookmarkStart w:name="ud9ddbb77" w:id="12"/>
      <w:r>
        <w:rPr>
          <w:rFonts w:eastAsia="宋体" w:ascii="宋体"/>
        </w:rPr>
        <w:drawing>
          <wp:inline distT="0" distB="0" distL="0" distR="0">
            <wp:extent cx="5842000" cy="314298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44653200" cy="24023314"/>
                    </a:xfrm>
                    <a:prstGeom prst="rect">
                      <a:avLst/>
                    </a:prstGeom>
                  </pic:spPr>
                </pic:pic>
              </a:graphicData>
            </a:graphic>
          </wp:inline>
        </w:drawing>
      </w:r>
      <w:bookmarkEnd w:id="12"/>
    </w:p>
    <w:bookmarkEnd w:id="11"/>
    <w:bookmarkStart w:name="63cec7fc197d8c1afc4bb5c9dac8968a" w:id="13"/>
    <w:p>
      <w:pPr>
        <w:spacing w:after="50" w:line="360" w:lineRule="auto" w:beforeLines="100"/>
        <w:ind w:left="0"/>
        <w:jc w:val="left"/>
      </w:pPr>
      <w:r>
        <w:rPr>
          <w:rFonts w:ascii="宋体" w:hAnsi="Times New Roman" w:eastAsia="宋体"/>
          <w:b w:val="false"/>
          <w:i w:val="false"/>
          <w:color w:val="000000"/>
          <w:sz w:val="22"/>
        </w:rPr>
        <w:t>总而言之，对庞大的存量光伏电站进行智能化、数字化升级改造，不仅是盘活资产、提升投资回报率的必然选择，更是推动国家“双碳”目标实现、优化能源结构、保障能源安全的关键举措。要理解这场变革的深刻内涵，必须首先剖析其背后的技术、经济与资源等多重驱动力。</w:t>
      </w:r>
    </w:p>
    <w:bookmarkEnd w:id="13"/>
    <w:bookmarkStart w:name="ueca86f09" w:id="14"/>
    <w:p>
      <w:pPr>
        <w:spacing w:after="50" w:line="360" w:lineRule="auto" w:beforeLines="100"/>
        <w:ind w:left="0"/>
        <w:jc w:val="left"/>
      </w:pPr>
      <w:bookmarkStart w:name="ARThN" w:id="15"/>
      <w:r>
        <w:rPr>
          <w:rFonts w:eastAsia="宋体" w:ascii="宋体"/>
        </w:rPr>
        <w:drawing>
          <wp:inline distT="0" distB="0" distL="0" distR="0">
            <wp:extent cx="5841999" cy="137280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7559867" cy="4126365"/>
                    </a:xfrm>
                    <a:prstGeom prst="rect">
                      <a:avLst/>
                    </a:prstGeom>
                  </pic:spPr>
                </pic:pic>
              </a:graphicData>
            </a:graphic>
          </wp:inline>
        </w:drawing>
      </w:r>
      <w:bookmarkEnd w:id="15"/>
    </w:p>
    <w:bookmarkEnd w:id="14"/>
    <w:bookmarkStart w:name="uc87d6323" w:id="16"/>
    <w:bookmarkEnd w:id="16"/>
    <w:bookmarkStart w:name="4ca8b4982ce73126f2c681466ab32c25" w:id="17"/>
    <w:p>
      <w:pPr>
        <w:spacing w:after="50" w:line="360" w:lineRule="auto" w:beforeLines="100"/>
        <w:ind w:left="0"/>
        <w:jc w:val="left"/>
      </w:pPr>
      <w:r>
        <w:rPr>
          <w:rFonts w:ascii="宋体" w:hAnsi="Times New Roman" w:eastAsia="宋体"/>
          <w:b w:val="false"/>
          <w:i w:val="false"/>
          <w:color w:val="000000"/>
          <w:sz w:val="22"/>
        </w:rPr>
        <w:t>对存量光伏电站进行升级改造，已非未雨绸缪的远见，而是刻不容缓的行动。其紧迫性源于</w:t>
      </w:r>
      <w:r>
        <w:rPr>
          <w:rFonts w:ascii="宋体" w:hAnsi="Times New Roman" w:eastAsia="宋体"/>
          <w:b/>
          <w:i w:val="false"/>
          <w:color w:val="07787e"/>
          <w:sz w:val="22"/>
        </w:rPr>
        <w:t>技术、资产</w:t>
      </w:r>
      <w:r>
        <w:rPr>
          <w:rFonts w:ascii="宋体" w:hAnsi="Times New Roman" w:eastAsia="宋体"/>
          <w:b w:val="false"/>
          <w:i w:val="false"/>
          <w:color w:val="000000"/>
          <w:sz w:val="22"/>
        </w:rPr>
        <w:t>和</w:t>
      </w:r>
      <w:r>
        <w:rPr>
          <w:rFonts w:ascii="宋体" w:hAnsi="Times New Roman" w:eastAsia="宋体"/>
          <w:b/>
          <w:i w:val="false"/>
          <w:color w:val="07787e"/>
          <w:sz w:val="22"/>
        </w:rPr>
        <w:t>资源</w:t>
      </w:r>
      <w:r>
        <w:rPr>
          <w:rFonts w:ascii="宋体" w:hAnsi="Times New Roman" w:eastAsia="宋体"/>
          <w:b w:val="false"/>
          <w:i w:val="false"/>
          <w:color w:val="000000"/>
          <w:sz w:val="22"/>
        </w:rPr>
        <w:t>三个维度的强大驱动力，共同构成了这场变革的必然性。本章节将从这三个维度进行深入剖析。</w:t>
      </w:r>
    </w:p>
    <w:bookmarkEnd w:id="17"/>
    <w:bookmarkStart w:name="hURIb" w:id="18"/>
    <w:p>
      <w:pPr>
        <w:pStyle w:val="Heading3"/>
        <w:spacing w:after="50" w:line="360" w:lineRule="auto" w:beforeLines="100"/>
        <w:ind w:left="0"/>
        <w:jc w:val="left"/>
      </w:pPr>
      <w:r>
        <w:rPr>
          <w:rFonts w:ascii="宋体" w:hAnsi="Times New Roman" w:eastAsia="宋体"/>
          <w:color w:val="07787e"/>
        </w:rPr>
        <w:t>2.1 技术飞跃与成本剧降创造价值空间</w:t>
      </w:r>
    </w:p>
    <w:bookmarkEnd w:id="18"/>
    <w:bookmarkStart w:name="b7568fddbcddbdde847536a2e0f488f6" w:id="19"/>
    <w:p>
      <w:pPr>
        <w:spacing w:after="50" w:line="360" w:lineRule="auto" w:beforeLines="100"/>
        <w:ind w:left="0"/>
        <w:jc w:val="left"/>
      </w:pPr>
      <w:r>
        <w:rPr>
          <w:rFonts w:ascii="宋体" w:hAnsi="Times New Roman" w:eastAsia="宋体"/>
          <w:b w:val="false"/>
          <w:i w:val="false"/>
          <w:color w:val="000000"/>
          <w:sz w:val="22"/>
        </w:rPr>
        <w:t>过去十余年，光伏产业经历了颠覆性的技术迭代和成本优化，形成了巨大的“技术代差”和“成本鸿沟”。这为老旧电站的升级改造提供了坚实的经济可行性基础。</w:t>
      </w:r>
    </w:p>
    <w:bookmarkEnd w:id="19"/>
    <w:bookmarkStart w:name="ccb9e0ead5bc236e7cab1219bc6caaab" w:id="20"/>
    <w:p>
      <w:pPr>
        <w:spacing w:after="50" w:line="360" w:lineRule="auto" w:beforeLines="100"/>
        <w:ind w:left="0"/>
        <w:jc w:val="center"/>
      </w:pPr>
      <w:bookmarkStart w:name="u8a373dbe" w:id="21"/>
      <w:r>
        <w:rPr>
          <w:rFonts w:eastAsia="宋体" w:ascii="宋体"/>
        </w:rPr>
        <w:drawing>
          <wp:inline distT="0" distB="0" distL="0" distR="0">
            <wp:extent cx="5842000" cy="205339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5842000" cy="2053392"/>
                    </a:xfrm>
                    <a:prstGeom prst="rect">
                      <a:avLst/>
                    </a:prstGeom>
                  </pic:spPr>
                </pic:pic>
              </a:graphicData>
            </a:graphic>
          </wp:inline>
        </w:drawing>
      </w:r>
      <w:bookmarkEnd w:id="21"/>
    </w:p>
    <w:bookmarkEnd w:id="20"/>
    <w:bookmarkStart w:name="97000c98ff175e5c741742b8ba71097d" w:id="22"/>
    <w:p>
      <w:pPr>
        <w:spacing w:after="50" w:line="360" w:lineRule="auto" w:beforeLines="100"/>
        <w:ind w:left="0"/>
        <w:jc w:val="left"/>
      </w:pPr>
      <w:r>
        <w:rPr>
          <w:rFonts w:ascii="宋体" w:hAnsi="Times New Roman" w:eastAsia="宋体"/>
          <w:b w:val="false"/>
          <w:i w:val="false"/>
          <w:color w:val="000000"/>
          <w:sz w:val="22"/>
        </w:rPr>
        <w:t>上述数据揭示了一个深刻的现实：用今天的技术和成本去替换十年前的设备，不仅能在性能上实现质的飞跃，更在经济上极具吸引力。巨大的技术代差意味着，即便是运行正常的早期电站，其发电潜力也远未被充分挖掘。</w:t>
      </w:r>
    </w:p>
    <w:bookmarkEnd w:id="22"/>
    <w:bookmarkStart w:name="Hfikl" w:id="23"/>
    <w:p>
      <w:pPr>
        <w:pStyle w:val="Heading3"/>
        <w:spacing w:after="50" w:line="360" w:lineRule="auto" w:beforeLines="100"/>
        <w:ind w:left="0"/>
        <w:jc w:val="left"/>
      </w:pPr>
      <w:r>
        <w:rPr>
          <w:rFonts w:ascii="宋体" w:hAnsi="Times New Roman" w:eastAsia="宋体"/>
          <w:color w:val="07787e"/>
        </w:rPr>
        <w:t>2.2 存量资产的性能衰减与安全隐患</w:t>
      </w:r>
    </w:p>
    <w:bookmarkEnd w:id="23"/>
    <w:bookmarkStart w:name="bd90c6f79439e92990773d85844f5c01" w:id="24"/>
    <w:p>
      <w:pPr>
        <w:spacing w:after="50" w:line="360" w:lineRule="auto" w:beforeLines="100"/>
        <w:ind w:left="0"/>
        <w:jc w:val="left"/>
      </w:pPr>
      <w:r>
        <w:rPr>
          <w:rFonts w:ascii="宋体" w:hAnsi="Times New Roman" w:eastAsia="宋体"/>
          <w:b w:val="false"/>
          <w:i w:val="false"/>
          <w:color w:val="000000"/>
          <w:sz w:val="22"/>
        </w:rPr>
        <w:t>许多早期建设的光伏电站，由于当时的设计规范、设备选型和施工标准所限，普遍面临着效率低下、设备老化等问题。这些问题随着时间的推移日益凸显，直接影响电站的经济收益和运营安全。</w:t>
      </w:r>
    </w:p>
    <w:bookmarkEnd w:id="24"/>
    <w:bookmarkStart w:name="94105d9a0383ad9fcecbe3fbaf1989ae" w:id="25"/>
    <w:p>
      <w:pPr>
        <w:spacing w:after="50" w:line="360" w:lineRule="auto" w:beforeLines="100"/>
        <w:ind w:left="0"/>
        <w:jc w:val="left"/>
      </w:pPr>
      <w:r>
        <w:rPr>
          <w:rFonts w:ascii="宋体" w:hAnsi="Times New Roman" w:eastAsia="宋体"/>
          <w:b w:val="false"/>
          <w:i w:val="false"/>
          <w:color w:val="000000"/>
          <w:sz w:val="22"/>
        </w:rPr>
        <w:t>一项针对某52.35MWp典型光伏电站的长期研究量化了这一衰减过程：</w:t>
      </w:r>
    </w:p>
    <w:bookmarkEnd w:id="25"/>
    <w:bookmarkStart w:name="46bcc482f3d597ac8ef02dd13ade8975" w:id="26"/>
    <w:p>
      <w:pPr>
        <w:numPr>
          <w:ilvl w:val="0"/>
          <w:numId w:val="1"/>
        </w:numPr>
        <w:spacing w:after="50" w:line="360" w:lineRule="auto" w:beforeLines="100"/>
        <w:ind w:left="360"/>
        <w:jc w:val="left"/>
      </w:pPr>
      <w:r>
        <w:rPr>
          <w:rFonts w:ascii="宋体" w:hAnsi="Times New Roman" w:eastAsia="宋体"/>
          <w:b/>
          <w:i w:val="false"/>
          <w:color w:val="07787e"/>
          <w:sz w:val="22"/>
        </w:rPr>
        <w:t>光伏组件功率衰减率</w:t>
      </w:r>
      <w:r>
        <w:rPr>
          <w:rFonts w:ascii="宋体" w:hAnsi="Times New Roman" w:eastAsia="宋体"/>
          <w:b w:val="false"/>
          <w:i w:val="false"/>
          <w:color w:val="07787e"/>
          <w:sz w:val="22"/>
        </w:rPr>
        <w:t>：</w:t>
      </w:r>
      <w:r>
        <w:rPr>
          <w:rFonts w:ascii="宋体" w:hAnsi="Times New Roman" w:eastAsia="宋体"/>
          <w:b w:val="false"/>
          <w:i w:val="false"/>
          <w:color w:val="000000"/>
          <w:sz w:val="22"/>
        </w:rPr>
        <w:t xml:space="preserve">平均每年达到 </w:t>
      </w:r>
      <w:r>
        <w:rPr>
          <w:rFonts w:ascii="宋体" w:hAnsi="Times New Roman" w:eastAsia="宋体"/>
          <w:b/>
          <w:i w:val="false"/>
          <w:color w:val="000000"/>
          <w:sz w:val="22"/>
        </w:rPr>
        <w:t>0.89%</w:t>
      </w:r>
      <w:r>
        <w:rPr>
          <w:rFonts w:ascii="宋体" w:hAnsi="Times New Roman" w:eastAsia="宋体"/>
          <w:b w:val="false"/>
          <w:i w:val="false"/>
          <w:color w:val="000000"/>
          <w:sz w:val="22"/>
        </w:rPr>
        <w:t xml:space="preserve">，部分组件因隐裂问题，年衰减率甚至超过 </w:t>
      </w:r>
      <w:r>
        <w:rPr>
          <w:rFonts w:ascii="宋体" w:hAnsi="Times New Roman" w:eastAsia="宋体"/>
          <w:b/>
          <w:i w:val="false"/>
          <w:color w:val="000000"/>
          <w:sz w:val="22"/>
        </w:rPr>
        <w:t>1.05%</w:t>
      </w:r>
      <w:r>
        <w:rPr>
          <w:rFonts w:ascii="宋体" w:hAnsi="Times New Roman" w:eastAsia="宋体"/>
          <w:b w:val="false"/>
          <w:i w:val="false"/>
          <w:color w:val="000000"/>
          <w:sz w:val="22"/>
        </w:rPr>
        <w:t>。</w:t>
      </w:r>
    </w:p>
    <w:bookmarkEnd w:id="26"/>
    <w:bookmarkStart w:name="2a5d977b1ac2ca51b9e6c3a54bebf15c" w:id="27"/>
    <w:p>
      <w:pPr>
        <w:numPr>
          <w:ilvl w:val="0"/>
          <w:numId w:val="1"/>
        </w:numPr>
        <w:spacing w:after="50" w:line="360" w:lineRule="auto" w:beforeLines="100"/>
        <w:ind w:left="360"/>
        <w:jc w:val="left"/>
      </w:pPr>
      <w:r>
        <w:rPr>
          <w:rFonts w:ascii="宋体" w:hAnsi="Times New Roman" w:eastAsia="宋体"/>
          <w:b/>
          <w:i w:val="false"/>
          <w:color w:val="07787e"/>
          <w:sz w:val="22"/>
        </w:rPr>
        <w:t>年发电量</w:t>
      </w:r>
      <w:r>
        <w:rPr>
          <w:rFonts w:ascii="宋体" w:hAnsi="Times New Roman" w:eastAsia="宋体"/>
          <w:b w:val="false"/>
          <w:i w:val="false"/>
          <w:color w:val="07787e"/>
          <w:sz w:val="22"/>
        </w:rPr>
        <w:t>：</w:t>
      </w:r>
      <w:r>
        <w:rPr>
          <w:rFonts w:ascii="宋体" w:hAnsi="Times New Roman" w:eastAsia="宋体"/>
          <w:b w:val="false"/>
          <w:i w:val="false"/>
          <w:color w:val="000000"/>
          <w:sz w:val="22"/>
        </w:rPr>
        <w:t xml:space="preserve">从初期的 81,245.36 MWh 下降至 75,428.89 MWh，累计降幅达 </w:t>
      </w:r>
      <w:r>
        <w:rPr>
          <w:rFonts w:ascii="宋体" w:hAnsi="Times New Roman" w:eastAsia="宋体"/>
          <w:b/>
          <w:i w:val="false"/>
          <w:color w:val="000000"/>
          <w:sz w:val="22"/>
        </w:rPr>
        <w:t>7.17%</w:t>
      </w:r>
      <w:r>
        <w:rPr>
          <w:rFonts w:ascii="宋体" w:hAnsi="Times New Roman" w:eastAsia="宋体"/>
          <w:b w:val="false"/>
          <w:i w:val="false"/>
          <w:color w:val="000000"/>
          <w:sz w:val="22"/>
        </w:rPr>
        <w:t>。</w:t>
      </w:r>
    </w:p>
    <w:bookmarkEnd w:id="27"/>
    <w:bookmarkStart w:name="f2a953caf50082556b2ae65d226410ff" w:id="28"/>
    <w:p>
      <w:pPr>
        <w:numPr>
          <w:ilvl w:val="0"/>
          <w:numId w:val="1"/>
        </w:numPr>
        <w:spacing w:after="50" w:line="360" w:lineRule="auto" w:beforeLines="100"/>
        <w:ind w:left="360"/>
        <w:jc w:val="left"/>
      </w:pPr>
      <w:r>
        <w:rPr>
          <w:rFonts w:ascii="宋体" w:hAnsi="Times New Roman" w:eastAsia="宋体"/>
          <w:b/>
          <w:i w:val="false"/>
          <w:color w:val="07787e"/>
          <w:sz w:val="22"/>
        </w:rPr>
        <w:t>逆变器效率</w:t>
      </w:r>
      <w:r>
        <w:rPr>
          <w:rFonts w:ascii="宋体" w:hAnsi="Times New Roman" w:eastAsia="宋体"/>
          <w:b w:val="false"/>
          <w:i w:val="false"/>
          <w:color w:val="07787e"/>
          <w:sz w:val="22"/>
        </w:rPr>
        <w:t>：</w:t>
      </w:r>
      <w:r>
        <w:rPr>
          <w:rFonts w:ascii="宋体" w:hAnsi="Times New Roman" w:eastAsia="宋体"/>
          <w:b w:val="false"/>
          <w:i w:val="false"/>
          <w:color w:val="000000"/>
          <w:sz w:val="22"/>
        </w:rPr>
        <w:t xml:space="preserve">满载效率从投运初期的 98.27% 下降至 </w:t>
      </w:r>
      <w:r>
        <w:rPr>
          <w:rFonts w:ascii="宋体" w:hAnsi="Times New Roman" w:eastAsia="宋体"/>
          <w:b/>
          <w:i w:val="false"/>
          <w:color w:val="000000"/>
          <w:sz w:val="22"/>
        </w:rPr>
        <w:t>96.84%</w:t>
      </w:r>
      <w:r>
        <w:rPr>
          <w:rFonts w:ascii="宋体" w:hAnsi="Times New Roman" w:eastAsia="宋体"/>
          <w:b w:val="false"/>
          <w:i w:val="false"/>
          <w:color w:val="000000"/>
          <w:sz w:val="22"/>
        </w:rPr>
        <w:t>，且在高温环境下频繁触发过载保护，严重影响发电稳定性。</w:t>
      </w:r>
    </w:p>
    <w:bookmarkEnd w:id="28"/>
    <w:bookmarkStart w:name="ub4587f36" w:id="29"/>
    <w:p>
      <w:pPr>
        <w:spacing w:after="50" w:line="360" w:lineRule="auto" w:beforeLines="100"/>
        <w:ind w:left="0"/>
        <w:jc w:val="left"/>
      </w:pPr>
      <w:bookmarkStart w:name="u6dd24541" w:id="30"/>
      <w:r>
        <w:rPr>
          <w:rFonts w:eastAsia="宋体" w:ascii="宋体"/>
        </w:rPr>
        <w:drawing>
          <wp:inline distT="0" distB="0" distL="0" distR="0">
            <wp:extent cx="5842000" cy="314298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44653200" cy="24023314"/>
                    </a:xfrm>
                    <a:prstGeom prst="rect">
                      <a:avLst/>
                    </a:prstGeom>
                  </pic:spPr>
                </pic:pic>
              </a:graphicData>
            </a:graphic>
          </wp:inline>
        </w:drawing>
      </w:r>
      <w:bookmarkEnd w:id="30"/>
    </w:p>
    <w:bookmarkEnd w:id="29"/>
    <w:bookmarkStart w:name="71a4b848cb828f6f85060a27c561f1a1" w:id="31"/>
    <w:p>
      <w:pPr>
        <w:spacing w:after="50" w:line="360" w:lineRule="auto" w:beforeLines="100"/>
        <w:ind w:left="0"/>
        <w:jc w:val="left"/>
      </w:pPr>
      <w:r>
        <w:rPr>
          <w:rFonts w:ascii="宋体" w:hAnsi="Times New Roman" w:eastAsia="宋体"/>
          <w:b w:val="false"/>
          <w:i w:val="false"/>
          <w:color w:val="000000"/>
          <w:sz w:val="22"/>
        </w:rPr>
        <w:t>这些性能衰减不仅直接导致发电量损失和收益下降，更伴随着日益增长的安全风险。老化的电缆、锈蚀的桥架以及不完善的防雷接地系统，都可能成为引发电气火灾或设备损坏的导火索，对电站资产和人员安全构成严重威胁。</w:t>
      </w:r>
    </w:p>
    <w:bookmarkEnd w:id="31"/>
    <w:bookmarkStart w:name="EXCBb" w:id="32"/>
    <w:p>
      <w:pPr>
        <w:pStyle w:val="Heading3"/>
        <w:spacing w:after="50" w:line="360" w:lineRule="auto" w:beforeLines="100"/>
        <w:ind w:left="0"/>
        <w:jc w:val="left"/>
      </w:pPr>
      <w:r>
        <w:rPr>
          <w:rFonts w:ascii="宋体" w:hAnsi="Times New Roman" w:eastAsia="宋体"/>
          <w:color w:val="07787e"/>
        </w:rPr>
        <w:t>2.3 土地与电网资源的双重制约</w:t>
      </w:r>
    </w:p>
    <w:bookmarkEnd w:id="32"/>
    <w:bookmarkStart w:name="acdd98ade982e35fdd795e5bbda3d1a5" w:id="33"/>
    <w:p>
      <w:pPr>
        <w:spacing w:after="50" w:line="360" w:lineRule="auto" w:beforeLines="100"/>
        <w:ind w:left="0"/>
        <w:jc w:val="left"/>
      </w:pPr>
      <w:r>
        <w:rPr>
          <w:rFonts w:ascii="宋体" w:hAnsi="Times New Roman" w:eastAsia="宋体"/>
          <w:b w:val="false"/>
          <w:i w:val="false"/>
          <w:color w:val="000000"/>
          <w:sz w:val="22"/>
        </w:rPr>
        <w:t>随着中国新能源产业的规模化发展，优质的土地和便捷的电网接入点已成为稀缺资源，成为制约光伏产业可持续发展的主要瓶颈。在这样的背景下，向存量要效益、提高单位资源的产出效率，成为行业发展的必然路径。</w:t>
      </w:r>
    </w:p>
    <w:bookmarkEnd w:id="33"/>
    <w:bookmarkStart w:name="edc2faea24c1e562022ede625d3b1c7d" w:id="34"/>
    <w:p>
      <w:pPr>
        <w:spacing w:after="50" w:line="360" w:lineRule="auto" w:beforeLines="100"/>
        <w:ind w:left="0"/>
        <w:jc w:val="left"/>
      </w:pPr>
      <w:r>
        <w:rPr>
          <w:rFonts w:ascii="宋体" w:hAnsi="Times New Roman" w:eastAsia="宋体"/>
          <w:b w:val="false"/>
          <w:i w:val="false"/>
          <w:color w:val="000000"/>
          <w:sz w:val="22"/>
        </w:rPr>
        <w:t>升级改造提供了一条完美的解决方案。通过采用更高效率的组件和优化容配比设计，可以在不新增一分土地、不大幅改变电网接入条件的情况下，显著提升单位面积的装机容量和发电能力。这不仅是对宝贵土地资源的集约化利用，也是对现有电网基础设施利用效率的大幅提升，有效缓解了当前新能源发展的资源紧张矛盾。</w:t>
      </w:r>
    </w:p>
    <w:bookmarkEnd w:id="34"/>
    <w:bookmarkStart w:name="5d45d358758aaaef502a02616170d443" w:id="35"/>
    <w:p>
      <w:pPr>
        <w:spacing w:after="50" w:line="360" w:lineRule="auto" w:beforeLines="100"/>
        <w:ind w:left="0"/>
        <w:jc w:val="left"/>
      </w:pPr>
      <w:r>
        <w:rPr>
          <w:rFonts w:ascii="宋体" w:hAnsi="Times New Roman" w:eastAsia="宋体"/>
          <w:b w:val="false"/>
          <w:i w:val="false"/>
          <w:color w:val="000000"/>
          <w:sz w:val="22"/>
        </w:rPr>
        <w:t>综上所述，在技术进步创造的巨大价值空间、存量资产自身性能衰退的内在压力，以及土地与电网资源日益紧张的外部约束三重驱动下，对老旧光伏电站进行全面的升级改造，已成为一项势在必行且极具价值的战略选择。</w:t>
      </w:r>
    </w:p>
    <w:bookmarkEnd w:id="35"/>
    <w:bookmarkStart w:name="ua76c030d" w:id="36"/>
    <w:p>
      <w:pPr>
        <w:spacing w:after="50" w:line="360" w:lineRule="auto" w:beforeLines="100"/>
        <w:ind w:left="0"/>
        <w:jc w:val="left"/>
      </w:pPr>
      <w:bookmarkStart w:name="o4zA6" w:id="37"/>
      <w:r>
        <w:rPr>
          <w:rFonts w:eastAsia="宋体" w:ascii="宋体"/>
        </w:rPr>
        <w:drawing>
          <wp:inline distT="0" distB="0" distL="0" distR="0">
            <wp:extent cx="5842000" cy="134366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7526000" cy="4030980"/>
                    </a:xfrm>
                    <a:prstGeom prst="rect">
                      <a:avLst/>
                    </a:prstGeom>
                  </pic:spPr>
                </pic:pic>
              </a:graphicData>
            </a:graphic>
          </wp:inline>
        </w:drawing>
      </w:r>
      <w:bookmarkEnd w:id="37"/>
    </w:p>
    <w:bookmarkEnd w:id="36"/>
    <w:bookmarkStart w:name="127957bb0f30c4969b5e09220bf5aced" w:id="38"/>
    <w:p>
      <w:pPr>
        <w:spacing w:after="50" w:line="360" w:lineRule="auto" w:beforeLines="100"/>
        <w:ind w:left="0"/>
        <w:jc w:val="left"/>
      </w:pPr>
      <w:r>
        <w:rPr>
          <w:rFonts w:ascii="宋体" w:hAnsi="Times New Roman" w:eastAsia="宋体"/>
          <w:b w:val="false"/>
          <w:i w:val="false"/>
          <w:color w:val="000000"/>
          <w:sz w:val="22"/>
        </w:rPr>
        <w:t>成功的升级改造并非简单的设备替换，而是一个始于精确诊断、终于价值最大化的系统性工程。本章节旨在为决策者提供一个清晰的行动框架，涵盖从科学评估到模式选择的全过程，确保每一笔投资都能精准地转化为可观的效益提升。</w:t>
      </w:r>
    </w:p>
    <w:bookmarkEnd w:id="38"/>
    <w:bookmarkStart w:name="ObpDq" w:id="39"/>
    <w:p>
      <w:pPr>
        <w:pStyle w:val="Heading3"/>
        <w:spacing w:after="50" w:line="360" w:lineRule="auto" w:beforeLines="100"/>
        <w:ind w:left="0"/>
        <w:jc w:val="left"/>
      </w:pPr>
      <w:r>
        <w:rPr>
          <w:rFonts w:ascii="宋体" w:hAnsi="Times New Roman" w:eastAsia="宋体"/>
          <w:color w:val="07787e"/>
        </w:rPr>
        <w:t>3.1 第一步：科学评估与优先级排序</w:t>
      </w:r>
    </w:p>
    <w:bookmarkEnd w:id="39"/>
    <w:bookmarkStart w:name="d1bacc59f5cb28050b76dc5b1ed30f1f" w:id="40"/>
    <w:p>
      <w:pPr>
        <w:spacing w:after="50" w:line="360" w:lineRule="auto" w:beforeLines="100"/>
        <w:ind w:left="0"/>
        <w:jc w:val="left"/>
      </w:pPr>
      <w:r>
        <w:rPr>
          <w:rFonts w:ascii="宋体" w:hAnsi="Times New Roman" w:eastAsia="宋体"/>
          <w:b w:val="false"/>
          <w:i w:val="false"/>
          <w:color w:val="000000"/>
          <w:sz w:val="22"/>
        </w:rPr>
        <w:t>在启动任何改造项目之前，进行全面、科学的诊断评估是至关重要的第一步。评估的核心思路是“设备健康度 + 退化建模 + 经济测算”，旨在精准识别问题、量化风险、并最终指导投资决策。</w:t>
      </w:r>
    </w:p>
    <w:bookmarkEnd w:id="40"/>
    <w:bookmarkStart w:name="a9429b2fdf00a0b764407810cbe0fb4c" w:id="41"/>
    <w:p>
      <w:pPr>
        <w:spacing w:after="50" w:line="360" w:lineRule="auto" w:beforeLines="100"/>
        <w:ind w:left="0"/>
        <w:jc w:val="left"/>
      </w:pPr>
      <w:r>
        <w:rPr>
          <w:rFonts w:ascii="宋体" w:hAnsi="Times New Roman" w:eastAsia="宋体"/>
          <w:b w:val="false"/>
          <w:i w:val="false"/>
          <w:color w:val="000000"/>
          <w:sz w:val="22"/>
        </w:rPr>
        <w:t>评估应覆盖设备和电站两个层面，关键指标包括：</w:t>
      </w:r>
    </w:p>
    <w:bookmarkEnd w:id="41"/>
    <w:bookmarkStart w:name="feaed7e032478a343cfd0530c76ffba7" w:id="42"/>
    <w:p>
      <w:pPr>
        <w:numPr>
          <w:ilvl w:val="0"/>
          <w:numId w:val="2"/>
        </w:numPr>
        <w:spacing w:after="50" w:line="360" w:lineRule="auto" w:beforeLines="100"/>
        <w:ind w:left="360"/>
        <w:jc w:val="left"/>
      </w:pPr>
      <w:r>
        <w:rPr>
          <w:rFonts w:ascii="宋体" w:hAnsi="Times New Roman" w:eastAsia="宋体"/>
          <w:b/>
          <w:i w:val="false"/>
          <w:color w:val="07787e"/>
          <w:sz w:val="22"/>
        </w:rPr>
        <w:t>组件关键指标</w:t>
      </w:r>
      <w:r>
        <w:rPr>
          <w:rFonts w:ascii="宋体" w:hAnsi="Times New Roman" w:eastAsia="宋体"/>
          <w:b w:val="false"/>
          <w:i w:val="false"/>
          <w:color w:val="000000"/>
          <w:sz w:val="22"/>
        </w:rPr>
        <w:t>：输出功率保持率、IV曲线形态、热斑发生率、EL（电致发光）检测下的隐裂状况、绝缘电阻等。</w:t>
      </w:r>
    </w:p>
    <w:bookmarkEnd w:id="42"/>
    <w:bookmarkStart w:name="99d0fff2cb111658c953ff4d10809eb4" w:id="43"/>
    <w:p>
      <w:pPr>
        <w:numPr>
          <w:ilvl w:val="0"/>
          <w:numId w:val="2"/>
        </w:numPr>
        <w:spacing w:after="50" w:line="360" w:lineRule="auto" w:beforeLines="100"/>
        <w:ind w:left="360"/>
        <w:jc w:val="left"/>
      </w:pPr>
      <w:r>
        <w:rPr>
          <w:rFonts w:ascii="宋体" w:hAnsi="Times New Roman" w:eastAsia="宋体"/>
          <w:b/>
          <w:i w:val="false"/>
          <w:color w:val="07787e"/>
          <w:sz w:val="22"/>
        </w:rPr>
        <w:t>逆变器关键指标</w:t>
      </w:r>
      <w:r>
        <w:rPr>
          <w:rFonts w:ascii="宋体" w:hAnsi="Times New Roman" w:eastAsia="宋体"/>
          <w:b w:val="false"/>
          <w:i w:val="false"/>
          <w:color w:val="07787e"/>
          <w:sz w:val="22"/>
        </w:rPr>
        <w:t>：</w:t>
      </w:r>
      <w:r>
        <w:rPr>
          <w:rFonts w:ascii="宋体" w:hAnsi="Times New Roman" w:eastAsia="宋体"/>
          <w:b w:val="false"/>
          <w:i w:val="false"/>
          <w:color w:val="000000"/>
          <w:sz w:val="22"/>
        </w:rPr>
        <w:t>历史故障率、电能质量（谐波、功率因数）、运行温度稳定性、MPPT跟踪效率等。</w:t>
      </w:r>
    </w:p>
    <w:bookmarkEnd w:id="43"/>
    <w:bookmarkStart w:name="ee2605732048c535ac60c829b032f495" w:id="44"/>
    <w:p>
      <w:pPr>
        <w:numPr>
          <w:ilvl w:val="0"/>
          <w:numId w:val="2"/>
        </w:numPr>
        <w:spacing w:after="50" w:line="360" w:lineRule="auto" w:beforeLines="100"/>
        <w:ind w:left="360"/>
        <w:jc w:val="left"/>
      </w:pPr>
      <w:r>
        <w:rPr>
          <w:rFonts w:ascii="宋体" w:hAnsi="Times New Roman" w:eastAsia="宋体"/>
          <w:b/>
          <w:i w:val="false"/>
          <w:color w:val="07787e"/>
          <w:sz w:val="22"/>
        </w:rPr>
        <w:t>电站系统指标</w:t>
      </w:r>
      <w:r>
        <w:rPr>
          <w:rFonts w:ascii="宋体" w:hAnsi="Times New Roman" w:eastAsia="宋体"/>
          <w:b w:val="false"/>
          <w:i w:val="false"/>
          <w:color w:val="07787e"/>
          <w:sz w:val="22"/>
        </w:rPr>
        <w:t>：</w:t>
      </w:r>
      <w:r>
        <w:rPr>
          <w:rFonts w:ascii="宋体" w:hAnsi="Times New Roman" w:eastAsia="宋体"/>
          <w:b w:val="false"/>
          <w:i w:val="false"/>
          <w:color w:val="000000"/>
          <w:sz w:val="22"/>
        </w:rPr>
        <w:t>系统性能比（PR值）、故障停机率、与同资源区标杆电站的发电效率差距等。</w:t>
      </w:r>
    </w:p>
    <w:bookmarkEnd w:id="44"/>
    <w:bookmarkStart w:name="ffcaba04e96ece8ab07d6cc003bd6713" w:id="45"/>
    <w:p>
      <w:pPr>
        <w:spacing w:after="50" w:line="360" w:lineRule="auto" w:beforeLines="100"/>
        <w:ind w:left="0"/>
        <w:jc w:val="left"/>
      </w:pPr>
      <w:r>
        <w:rPr>
          <w:rFonts w:ascii="宋体" w:hAnsi="Times New Roman" w:eastAsia="宋体"/>
          <w:b w:val="false"/>
          <w:i w:val="false"/>
          <w:color w:val="000000"/>
          <w:sz w:val="22"/>
        </w:rPr>
        <w:t>通过对这些指标进行归一化与加权，可以为每台设备、每个子阵甚至整座电站生成一个综合健康评分（如0-100分制）。结合“单位投资可增加净现值（ΔNPV）”等经济模型，决策者可以科学地排列出不同电站之间以及同一电站内部不同设备单元的改造优先级，确保资源投向回报最高的领域。</w:t>
      </w:r>
    </w:p>
    <w:bookmarkEnd w:id="45"/>
    <w:bookmarkStart w:name="MZHvy" w:id="46"/>
    <w:p>
      <w:pPr>
        <w:pStyle w:val="Heading3"/>
        <w:spacing w:after="50" w:line="360" w:lineRule="auto" w:beforeLines="100"/>
        <w:ind w:left="0"/>
        <w:jc w:val="left"/>
      </w:pPr>
      <w:r>
        <w:rPr>
          <w:rFonts w:ascii="宋体" w:hAnsi="Times New Roman" w:eastAsia="宋体"/>
          <w:color w:val="07787e"/>
        </w:rPr>
        <w:t>3.2 核心改造模式分类</w:t>
      </w:r>
    </w:p>
    <w:bookmarkEnd w:id="46"/>
    <w:bookmarkStart w:name="2d8a4021152c6acb915e354b23f2d51b" w:id="47"/>
    <w:p>
      <w:pPr>
        <w:spacing w:after="50" w:line="360" w:lineRule="auto" w:beforeLines="100"/>
        <w:ind w:left="0"/>
        <w:jc w:val="left"/>
      </w:pPr>
      <w:r>
        <w:rPr>
          <w:rFonts w:ascii="宋体" w:hAnsi="Times New Roman" w:eastAsia="宋体"/>
          <w:b w:val="false"/>
          <w:i w:val="false"/>
          <w:color w:val="000000"/>
          <w:sz w:val="22"/>
        </w:rPr>
        <w:t>根据改造的核心目标，光伏电站的技改模式可系统地分为以下三类：</w:t>
      </w:r>
    </w:p>
    <w:bookmarkEnd w:id="47"/>
    <w:bookmarkStart w:name="u670f9eae" w:id="48"/>
    <w:p>
      <w:pPr>
        <w:spacing w:after="50" w:line="360" w:lineRule="auto" w:beforeLines="100"/>
        <w:ind w:left="0"/>
        <w:jc w:val="left"/>
      </w:pPr>
      <w:bookmarkStart w:name="u7f5d8290" w:id="49"/>
      <w:r>
        <w:rPr>
          <w:rFonts w:eastAsia="宋体" w:ascii="宋体"/>
        </w:rPr>
        <w:drawing>
          <wp:inline distT="0" distB="0" distL="0" distR="0">
            <wp:extent cx="5841999" cy="267195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5926666" cy="2710683"/>
                    </a:xfrm>
                    <a:prstGeom prst="rect">
                      <a:avLst/>
                    </a:prstGeom>
                  </pic:spPr>
                </pic:pic>
              </a:graphicData>
            </a:graphic>
          </wp:inline>
        </w:drawing>
      </w:r>
      <w:bookmarkEnd w:id="49"/>
    </w:p>
    <w:bookmarkEnd w:id="48"/>
    <w:bookmarkStart w:name="eEx07" w:id="50"/>
    <w:p>
      <w:pPr>
        <w:pStyle w:val="Heading3"/>
        <w:spacing w:after="50" w:line="360" w:lineRule="auto" w:beforeLines="100"/>
        <w:ind w:left="0"/>
        <w:jc w:val="left"/>
      </w:pPr>
      <w:r>
        <w:rPr>
          <w:rFonts w:ascii="宋体" w:hAnsi="Times New Roman" w:eastAsia="宋体"/>
          <w:color w:val="07787e"/>
        </w:rPr>
        <w:t>3.3 关键决策：等容改造 vs. 增容改造</w:t>
      </w:r>
    </w:p>
    <w:bookmarkEnd w:id="50"/>
    <w:bookmarkStart w:name="cb2de6f198b339a0a39073543ba2c3e2" w:id="51"/>
    <w:p>
      <w:pPr>
        <w:spacing w:after="50" w:line="360" w:lineRule="auto" w:beforeLines="100"/>
        <w:ind w:left="0"/>
        <w:jc w:val="left"/>
      </w:pPr>
      <w:r>
        <w:rPr>
          <w:rFonts w:ascii="宋体" w:hAnsi="Times New Roman" w:eastAsia="宋体"/>
          <w:b w:val="false"/>
          <w:i w:val="false"/>
          <w:color w:val="000000"/>
          <w:sz w:val="22"/>
        </w:rPr>
        <w:t>在效益型技改中，决策者面临一个核心选择：“等容改造”还是“增容改造”。</w:t>
      </w:r>
    </w:p>
    <w:bookmarkEnd w:id="51"/>
    <w:bookmarkStart w:name="ddc535fa73118d87a8af6bbac0dd530c" w:id="52"/>
    <w:p>
      <w:pPr>
        <w:numPr>
          <w:ilvl w:val="0"/>
          <w:numId w:val="3"/>
        </w:numPr>
        <w:spacing w:after="50" w:line="360" w:lineRule="auto" w:beforeLines="100"/>
        <w:ind w:left="360"/>
        <w:jc w:val="left"/>
      </w:pPr>
      <w:r>
        <w:rPr>
          <w:rFonts w:ascii="宋体" w:hAnsi="Times New Roman" w:eastAsia="宋体"/>
          <w:b/>
          <w:i w:val="false"/>
          <w:color w:val="07787e"/>
          <w:sz w:val="22"/>
        </w:rPr>
        <w:t>等容改造 (Equivalent Capacity Renovation)</w:t>
      </w:r>
      <w:r>
        <w:rPr>
          <w:rFonts w:ascii="宋体" w:hAnsi="Times New Roman" w:eastAsia="宋体"/>
          <w:b w:val="false"/>
          <w:i w:val="false"/>
          <w:color w:val="07787e"/>
          <w:sz w:val="22"/>
        </w:rPr>
        <w:t>：</w:t>
      </w:r>
      <w:r>
        <w:rPr>
          <w:rFonts w:ascii="宋体" w:hAnsi="Times New Roman" w:eastAsia="宋体"/>
          <w:b w:val="false"/>
          <w:i w:val="false"/>
          <w:color w:val="000000"/>
          <w:sz w:val="22"/>
        </w:rPr>
        <w:t>指改造后的电站额定容量与原有容量基本保持一致。其优势在于改造手续相对简单，对电网冲击小，但无法最大化利用土地资源。</w:t>
      </w:r>
    </w:p>
    <w:bookmarkEnd w:id="52"/>
    <w:bookmarkStart w:name="0924061dbc27f51851d14e9813f73807" w:id="53"/>
    <w:p>
      <w:pPr>
        <w:numPr>
          <w:ilvl w:val="0"/>
          <w:numId w:val="3"/>
        </w:numPr>
        <w:spacing w:after="50" w:line="360" w:lineRule="auto" w:beforeLines="100"/>
        <w:ind w:left="360"/>
        <w:jc w:val="left"/>
      </w:pPr>
      <w:r>
        <w:rPr>
          <w:rFonts w:ascii="宋体" w:hAnsi="Times New Roman" w:eastAsia="宋体"/>
          <w:b/>
          <w:i w:val="false"/>
          <w:color w:val="07787e"/>
          <w:sz w:val="22"/>
        </w:rPr>
        <w:t>增容改造 (Expanded Capacity Renovation)</w:t>
      </w:r>
      <w:r>
        <w:rPr>
          <w:rFonts w:ascii="宋体" w:hAnsi="Times New Roman" w:eastAsia="宋体"/>
          <w:b w:val="false"/>
          <w:i w:val="false"/>
          <w:color w:val="07787e"/>
          <w:sz w:val="22"/>
        </w:rPr>
        <w:t>：</w:t>
      </w:r>
      <w:r>
        <w:rPr>
          <w:rFonts w:ascii="宋体" w:hAnsi="Times New Roman" w:eastAsia="宋体"/>
          <w:b w:val="false"/>
          <w:i w:val="false"/>
          <w:color w:val="000000"/>
          <w:sz w:val="22"/>
        </w:rPr>
        <w:t>指在原有场址范围内，通过更换更高功率的组件和优化布局，最大程度地提升电站的装机容量。</w:t>
      </w:r>
    </w:p>
    <w:bookmarkEnd w:id="53"/>
    <w:bookmarkStart w:name="97676ba2a4ff7b78ca3057c6967318fa" w:id="54"/>
    <w:p>
      <w:pPr>
        <w:spacing w:after="50" w:line="360" w:lineRule="auto" w:beforeLines="100"/>
        <w:ind w:left="0"/>
        <w:jc w:val="left"/>
      </w:pPr>
      <w:r>
        <w:rPr>
          <w:rFonts w:ascii="宋体" w:hAnsi="Times New Roman" w:eastAsia="宋体"/>
          <w:b/>
          <w:i w:val="false"/>
          <w:color w:val="07787e"/>
          <w:sz w:val="22"/>
        </w:rPr>
        <w:t>我们认为，“原场址增容升级改造”是更具经济和社会效益的推荐路径。</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它能充分利用现有土地和接入设施，实现资产价值的最大化。从政策层面看，国家能源局在对相关问题的答复中明确指出，在符合《光伏发电系统效能规范》（NB/T 10394-2020）的前提下，对存量光伏电站开展提高容配比的技术改造是可行的，这为增容改造提供了明确的政策支持。</w:t>
      </w:r>
    </w:p>
    <w:bookmarkEnd w:id="54"/>
    <w:bookmarkStart w:name="f5342385904bac9c2f707dda991eb3ef" w:id="55"/>
    <w:p>
      <w:pPr>
        <w:spacing w:after="50" w:line="360" w:lineRule="auto" w:beforeLines="100"/>
        <w:ind w:left="0"/>
        <w:jc w:val="left"/>
      </w:pPr>
      <w:r>
        <w:rPr>
          <w:rFonts w:ascii="宋体" w:hAnsi="Times New Roman" w:eastAsia="宋体"/>
          <w:b w:val="false"/>
          <w:i w:val="false"/>
          <w:color w:val="000000"/>
          <w:sz w:val="22"/>
        </w:rPr>
        <w:t>无论选择何种策略，其价值最大化的关键，都离不开与先进智能化技术的深度融合。这将是下一章节探讨的重点。</w:t>
      </w:r>
    </w:p>
    <w:bookmarkEnd w:id="55"/>
    <w:bookmarkStart w:name="u92b0ea27" w:id="56"/>
    <w:p>
      <w:pPr>
        <w:spacing w:after="50" w:line="360" w:lineRule="auto" w:beforeLines="100"/>
        <w:ind w:left="0"/>
        <w:jc w:val="left"/>
      </w:pPr>
      <w:bookmarkStart w:name="u380173eb" w:id="57"/>
      <w:r>
        <w:rPr>
          <w:rFonts w:eastAsia="宋体" w:ascii="宋体"/>
        </w:rPr>
        <w:drawing>
          <wp:inline distT="0" distB="0" distL="0" distR="0">
            <wp:extent cx="5842000" cy="2809989"/>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44653200" cy="21478093"/>
                    </a:xfrm>
                    <a:prstGeom prst="rect">
                      <a:avLst/>
                    </a:prstGeom>
                  </pic:spPr>
                </pic:pic>
              </a:graphicData>
            </a:graphic>
          </wp:inline>
        </w:drawing>
      </w:r>
      <w:bookmarkEnd w:id="57"/>
    </w:p>
    <w:bookmarkEnd w:id="56"/>
    <w:bookmarkStart w:name="u5fcc2d1c" w:id="58"/>
    <w:p>
      <w:pPr>
        <w:spacing w:after="50" w:line="360" w:lineRule="auto" w:beforeLines="100"/>
        <w:ind w:left="0"/>
        <w:jc w:val="left"/>
      </w:pPr>
      <w:bookmarkStart w:name="ykdH7" w:id="59"/>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17576800" cy="3937024"/>
                    </a:xfrm>
                    <a:prstGeom prst="rect">
                      <a:avLst/>
                    </a:prstGeom>
                  </pic:spPr>
                </pic:pic>
              </a:graphicData>
            </a:graphic>
          </wp:inline>
        </w:drawing>
      </w:r>
      <w:bookmarkEnd w:id="59"/>
    </w:p>
    <w:bookmarkEnd w:id="58"/>
    <w:bookmarkStart w:name="90e65848a87e7a378e3b2d6a31671e4b" w:id="60"/>
    <w:p>
      <w:pPr>
        <w:spacing w:after="50" w:line="360" w:lineRule="auto" w:beforeLines="100"/>
        <w:ind w:left="0"/>
        <w:jc w:val="left"/>
      </w:pPr>
      <w:r>
        <w:rPr>
          <w:rFonts w:ascii="宋体" w:hAnsi="Times New Roman" w:eastAsia="宋体"/>
          <w:b w:val="false"/>
          <w:i w:val="false"/>
          <w:color w:val="000000"/>
          <w:sz w:val="22"/>
        </w:rPr>
        <w:t>现代化的光伏电站升级改造，远不止于硬件的更新换代。其精髓在于通过物联网、人工智能和大数据等前沿技术，将一座传统的、依赖人力的发电设施，系统性地转变为一个高效、自主、智能的新型能源资产。数字化运维是释放存量电站全部潜力的核心引擎。</w:t>
      </w:r>
    </w:p>
    <w:bookmarkEnd w:id="60"/>
    <w:bookmarkStart w:name="JhfJx" w:id="61"/>
    <w:p>
      <w:pPr>
        <w:pStyle w:val="Heading3"/>
        <w:spacing w:after="50" w:line="360" w:lineRule="auto" w:beforeLines="100"/>
        <w:ind w:left="0"/>
        <w:jc w:val="left"/>
      </w:pPr>
      <w:r>
        <w:rPr>
          <w:rFonts w:ascii="宋体" w:hAnsi="Times New Roman" w:eastAsia="宋体"/>
          <w:color w:val="07787e"/>
        </w:rPr>
        <w:t>4.1 从人工巡检到无人值守：运维模式的根本变革</w:t>
      </w:r>
    </w:p>
    <w:bookmarkEnd w:id="61"/>
    <w:bookmarkStart w:name="f04b16b9a033fb04f5ca6921c81f6bfc" w:id="62"/>
    <w:p>
      <w:pPr>
        <w:spacing w:after="50" w:line="360" w:lineRule="auto" w:beforeLines="100"/>
        <w:ind w:left="0"/>
        <w:jc w:val="left"/>
      </w:pPr>
      <w:r>
        <w:rPr>
          <w:rFonts w:ascii="宋体" w:hAnsi="Times New Roman" w:eastAsia="宋体"/>
          <w:b w:val="false"/>
          <w:i w:val="false"/>
          <w:color w:val="000000"/>
          <w:sz w:val="22"/>
        </w:rPr>
        <w:t>传统的运维模式高度依赖人工巡检和定期维护，存在效率低下、响应迟缓、成本高昂等固有弊端。故障排查往往耗时耗力，难以应对大规模电站的精细化管理需求。</w:t>
      </w:r>
    </w:p>
    <w:bookmarkEnd w:id="62"/>
    <w:bookmarkStart w:name="309c950becd21916fd767ac1a7dde16c" w:id="63"/>
    <w:p>
      <w:pPr>
        <w:spacing w:after="50" w:line="360" w:lineRule="auto" w:beforeLines="100"/>
        <w:ind w:left="0"/>
        <w:jc w:val="left"/>
      </w:pPr>
      <w:r>
        <w:rPr>
          <w:rFonts w:ascii="宋体" w:hAnsi="Times New Roman" w:eastAsia="宋体"/>
          <w:b w:val="false"/>
          <w:i w:val="false"/>
          <w:color w:val="000000"/>
          <w:sz w:val="22"/>
        </w:rPr>
        <w:t>而以“无人值守”为目标的现代智能运维解决方案，则彻底颠覆了这一模式。它通过一个集成的软硬件系统，实现了运维模式的根本性变革。其核心组成部分包括：</w:t>
      </w:r>
    </w:p>
    <w:bookmarkEnd w:id="63"/>
    <w:bookmarkStart w:name="890a251e7e6b1fe4d252d1d26d1f197b" w:id="64"/>
    <w:p>
      <w:pPr>
        <w:numPr>
          <w:ilvl w:val="0"/>
          <w:numId w:val="4"/>
        </w:numPr>
        <w:spacing w:after="50" w:line="360" w:lineRule="auto" w:beforeLines="100"/>
        <w:ind w:left="360"/>
        <w:jc w:val="left"/>
      </w:pPr>
      <w:r>
        <w:rPr>
          <w:rFonts w:ascii="宋体" w:hAnsi="Times New Roman" w:eastAsia="宋体"/>
          <w:b/>
          <w:i w:val="false"/>
          <w:color w:val="07787e"/>
          <w:sz w:val="22"/>
          <w:u w:val="single"/>
        </w:rPr>
        <w:t>智能硬件</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以</w:t>
      </w:r>
      <w:r>
        <w:rPr>
          <w:rFonts w:ascii="宋体" w:hAnsi="Times New Roman" w:eastAsia="宋体"/>
          <w:b/>
          <w:i w:val="false"/>
          <w:color w:val="07787e"/>
          <w:sz w:val="22"/>
        </w:rPr>
        <w:t>全自动光伏清洗机器人、搭载高清与热成像模块的巡检机器人/无人机、高精度智能监控终端</w:t>
      </w:r>
      <w:r>
        <w:rPr>
          <w:rFonts w:ascii="宋体" w:hAnsi="Times New Roman" w:eastAsia="宋体"/>
          <w:b w:val="false"/>
          <w:i w:val="false"/>
          <w:color w:val="000000"/>
          <w:sz w:val="22"/>
        </w:rPr>
        <w:t>等设备构成电站的“智能感官”和“自动执行单元”。</w:t>
      </w:r>
    </w:p>
    <w:bookmarkEnd w:id="64"/>
    <w:bookmarkStart w:name="38dde7de05d3166d49fca1f8db3d37a2" w:id="65"/>
    <w:p>
      <w:pPr>
        <w:numPr>
          <w:ilvl w:val="0"/>
          <w:numId w:val="4"/>
        </w:numPr>
        <w:spacing w:after="50" w:line="360" w:lineRule="auto" w:beforeLines="100"/>
        <w:ind w:left="360"/>
        <w:jc w:val="left"/>
      </w:pPr>
      <w:r>
        <w:rPr>
          <w:rFonts w:ascii="宋体" w:hAnsi="Times New Roman" w:eastAsia="宋体"/>
          <w:b/>
          <w:i w:val="false"/>
          <w:color w:val="07787e"/>
          <w:sz w:val="22"/>
          <w:u w:val="single"/>
        </w:rPr>
        <w:t>智能软件</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以后台</w:t>
      </w:r>
      <w:r>
        <w:rPr>
          <w:rFonts w:ascii="宋体" w:hAnsi="Times New Roman" w:eastAsia="宋体"/>
          <w:b/>
          <w:i w:val="false"/>
          <w:color w:val="07787e"/>
          <w:sz w:val="22"/>
        </w:rPr>
        <w:t>大数据平台</w:t>
      </w:r>
      <w:r>
        <w:rPr>
          <w:rFonts w:ascii="宋体" w:hAnsi="Times New Roman" w:eastAsia="宋体"/>
          <w:b w:val="false"/>
          <w:i w:val="false"/>
          <w:color w:val="000000"/>
          <w:sz w:val="22"/>
        </w:rPr>
        <w:t>为核心，集成</w:t>
      </w:r>
      <w:r>
        <w:rPr>
          <w:rFonts w:ascii="宋体" w:hAnsi="Times New Roman" w:eastAsia="宋体"/>
          <w:b/>
          <w:i w:val="false"/>
          <w:color w:val="07787e"/>
          <w:sz w:val="22"/>
        </w:rPr>
        <w:t>AI诊断模型、设备健康度管理、远程集控APP</w:t>
      </w:r>
      <w:r>
        <w:rPr>
          <w:rFonts w:ascii="宋体" w:hAnsi="Times New Roman" w:eastAsia="宋体"/>
          <w:b w:val="false"/>
          <w:i w:val="false"/>
          <w:color w:val="000000"/>
          <w:sz w:val="22"/>
        </w:rPr>
        <w:t>等功能，构成电站的“智慧大脑”。</w:t>
      </w:r>
    </w:p>
    <w:bookmarkEnd w:id="65"/>
    <w:bookmarkStart w:name="u6794e98c" w:id="66"/>
    <w:p>
      <w:pPr>
        <w:spacing w:after="50" w:line="360" w:lineRule="auto" w:beforeLines="100"/>
        <w:ind w:left="0"/>
        <w:jc w:val="left"/>
      </w:pPr>
      <w:bookmarkStart w:name="ue95fbaf5" w:id="67"/>
      <w:r>
        <w:rPr>
          <w:rFonts w:eastAsia="宋体" w:ascii="宋体"/>
        </w:rPr>
        <w:drawing>
          <wp:inline distT="0" distB="0" distL="0" distR="0">
            <wp:extent cx="5842000" cy="315466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44653200" cy="24112620"/>
                    </a:xfrm>
                    <a:prstGeom prst="rect">
                      <a:avLst/>
                    </a:prstGeom>
                  </pic:spPr>
                </pic:pic>
              </a:graphicData>
            </a:graphic>
          </wp:inline>
        </w:drawing>
      </w:r>
      <w:bookmarkEnd w:id="67"/>
    </w:p>
    <w:bookmarkEnd w:id="66"/>
    <w:bookmarkStart w:name="ub8ad7adf" w:id="68"/>
    <w:p>
      <w:pPr>
        <w:spacing w:after="50" w:line="360" w:lineRule="auto" w:beforeLines="100"/>
        <w:ind w:left="0"/>
        <w:jc w:val="left"/>
      </w:pPr>
      <w:r>
        <w:rPr>
          <w:rFonts w:ascii="宋体" w:hAnsi="Times New Roman" w:eastAsia="宋体"/>
          <w:b w:val="false"/>
          <w:i w:val="false"/>
          <w:color w:val="000000"/>
          <w:sz w:val="22"/>
        </w:rPr>
        <w:t>这一变革带来的价值是多维度的：实现</w:t>
      </w:r>
      <w:r>
        <w:rPr>
          <w:rFonts w:ascii="宋体" w:hAnsi="Times New Roman" w:eastAsia="宋体"/>
          <w:b/>
          <w:i w:val="false"/>
          <w:color w:val="07787e"/>
          <w:sz w:val="22"/>
        </w:rPr>
        <w:t>降本控险</w:t>
      </w:r>
      <w:r>
        <w:rPr>
          <w:rFonts w:ascii="宋体" w:hAnsi="Times New Roman" w:eastAsia="宋体"/>
          <w:b w:val="false"/>
          <w:i w:val="false"/>
          <w:color w:val="000000"/>
          <w:sz w:val="22"/>
        </w:rPr>
        <w:t>（减少人力成本和安全风险）、</w:t>
      </w:r>
      <w:r>
        <w:rPr>
          <w:rFonts w:ascii="宋体" w:hAnsi="Times New Roman" w:eastAsia="宋体"/>
          <w:b/>
          <w:i w:val="false"/>
          <w:color w:val="07787e"/>
          <w:sz w:val="22"/>
        </w:rPr>
        <w:t>提质增效</w:t>
      </w:r>
      <w:r>
        <w:rPr>
          <w:rFonts w:ascii="宋体" w:hAnsi="Times New Roman" w:eastAsia="宋体"/>
          <w:b w:val="false"/>
          <w:i w:val="false"/>
          <w:color w:val="000000"/>
          <w:sz w:val="22"/>
        </w:rPr>
        <w:t>（提高故障定位和处理效率）、</w:t>
      </w:r>
      <w:r>
        <w:rPr>
          <w:rFonts w:ascii="宋体" w:hAnsi="Times New Roman" w:eastAsia="宋体"/>
          <w:b/>
          <w:i w:val="false"/>
          <w:color w:val="07787e"/>
          <w:sz w:val="22"/>
        </w:rPr>
        <w:t>收益提升</w:t>
      </w:r>
      <w:r>
        <w:rPr>
          <w:rFonts w:ascii="宋体" w:hAnsi="Times New Roman" w:eastAsia="宋体"/>
          <w:b w:val="false"/>
          <w:i w:val="false"/>
          <w:color w:val="000000"/>
          <w:sz w:val="22"/>
        </w:rPr>
        <w:t>（通过精细化管理增加发电量），最终帮助资产所有者在竞争中脱颖而出。</w:t>
      </w:r>
    </w:p>
    <w:bookmarkEnd w:id="68"/>
    <w:bookmarkStart w:name="g1iTt" w:id="69"/>
    <w:p>
      <w:pPr>
        <w:pStyle w:val="Heading3"/>
        <w:spacing w:after="50" w:line="360" w:lineRule="auto" w:beforeLines="100"/>
        <w:ind w:left="0"/>
        <w:jc w:val="left"/>
      </w:pPr>
      <w:r>
        <w:rPr>
          <w:rFonts w:ascii="宋体" w:hAnsi="Times New Roman" w:eastAsia="宋体"/>
          <w:color w:val="07787e"/>
        </w:rPr>
        <w:t>4.2 关键技术应用与价值分析</w:t>
      </w:r>
    </w:p>
    <w:bookmarkEnd w:id="69"/>
    <w:bookmarkStart w:name="rk0qW" w:id="70"/>
    <w:p>
      <w:pPr>
        <w:pStyle w:val="Heading4"/>
        <w:spacing w:after="50" w:line="360" w:lineRule="auto" w:beforeLines="100"/>
        <w:ind w:left="0"/>
        <w:jc w:val="left"/>
      </w:pPr>
      <w:r>
        <w:rPr>
          <w:rFonts w:ascii="宋体" w:hAnsi="Times New Roman" w:eastAsia="宋体"/>
          <w:color w:val="07787e"/>
        </w:rPr>
        <w:t>4.2.1 智能清洁技术</w:t>
      </w:r>
    </w:p>
    <w:bookmarkEnd w:id="70"/>
    <w:bookmarkStart w:name="e0720a7d7fa143d35619e8d59a9f7624" w:id="71"/>
    <w:p>
      <w:pPr>
        <w:spacing w:after="50" w:line="360" w:lineRule="auto" w:beforeLines="100"/>
        <w:ind w:left="0"/>
        <w:jc w:val="left"/>
      </w:pPr>
      <w:r>
        <w:rPr>
          <w:rFonts w:ascii="宋体" w:hAnsi="Times New Roman" w:eastAsia="宋体"/>
          <w:b w:val="false"/>
          <w:i w:val="false"/>
          <w:color w:val="000000"/>
          <w:sz w:val="22"/>
        </w:rPr>
        <w:t>沙尘、鸟粪等污物覆盖是影响发电量的主要因素之一。一项研究案例显示，引入光伏</w:t>
      </w:r>
      <w:r>
        <w:rPr>
          <w:rFonts w:ascii="宋体" w:hAnsi="Times New Roman" w:eastAsia="宋体"/>
          <w:b/>
          <w:i w:val="false"/>
          <w:color w:val="07787e"/>
          <w:sz w:val="22"/>
        </w:rPr>
        <w:t>机器人自动化清洁系统</w:t>
      </w:r>
      <w:r>
        <w:rPr>
          <w:rFonts w:ascii="宋体" w:hAnsi="Times New Roman" w:eastAsia="宋体"/>
          <w:b w:val="false"/>
          <w:i w:val="false"/>
          <w:color w:val="000000"/>
          <w:sz w:val="22"/>
        </w:rPr>
        <w:t>后，效果显著：</w:t>
      </w:r>
    </w:p>
    <w:bookmarkEnd w:id="71"/>
    <w:bookmarkStart w:name="9f32ff7dc573f5f59b4cb075eff5be5b" w:id="72"/>
    <w:p>
      <w:pPr>
        <w:numPr>
          <w:ilvl w:val="0"/>
          <w:numId w:val="5"/>
        </w:numPr>
        <w:spacing w:after="50" w:line="360" w:lineRule="auto" w:beforeLines="100"/>
        <w:ind w:left="360"/>
        <w:jc w:val="left"/>
      </w:pPr>
      <w:r>
        <w:rPr>
          <w:rFonts w:ascii="宋体" w:hAnsi="Times New Roman" w:eastAsia="宋体"/>
          <w:b w:val="false"/>
          <w:i w:val="false"/>
          <w:color w:val="000000"/>
          <w:sz w:val="22"/>
        </w:rPr>
        <w:t>组件表面的</w:t>
      </w:r>
      <w:r>
        <w:rPr>
          <w:rFonts w:ascii="宋体" w:hAnsi="Times New Roman" w:eastAsia="宋体"/>
          <w:b/>
          <w:i w:val="false"/>
          <w:color w:val="07787e"/>
          <w:sz w:val="22"/>
        </w:rPr>
        <w:t>光透过率降低率</w:t>
      </w:r>
      <w:r>
        <w:rPr>
          <w:rFonts w:ascii="宋体" w:hAnsi="Times New Roman" w:eastAsia="宋体"/>
          <w:b w:val="false"/>
          <w:i w:val="false"/>
          <w:color w:val="000000"/>
          <w:sz w:val="22"/>
        </w:rPr>
        <w:t xml:space="preserve">从改造前的 </w:t>
      </w:r>
      <w:r>
        <w:rPr>
          <w:rFonts w:ascii="宋体" w:hAnsi="Times New Roman" w:eastAsia="宋体"/>
          <w:b/>
          <w:i w:val="false"/>
          <w:color w:val="07787e"/>
          <w:sz w:val="22"/>
        </w:rPr>
        <w:t>12.47%</w:t>
      </w:r>
      <w:r>
        <w:rPr>
          <w:rFonts w:ascii="宋体" w:hAnsi="Times New Roman" w:eastAsia="宋体"/>
          <w:b w:val="false"/>
          <w:i w:val="false"/>
          <w:color w:val="000000"/>
          <w:sz w:val="22"/>
        </w:rPr>
        <w:t xml:space="preserve"> 大幅下降至 </w:t>
      </w:r>
      <w:r>
        <w:rPr>
          <w:rFonts w:ascii="宋体" w:hAnsi="Times New Roman" w:eastAsia="宋体"/>
          <w:b/>
          <w:i w:val="false"/>
          <w:color w:val="000000"/>
          <w:sz w:val="22"/>
        </w:rPr>
        <w:t>2.85%</w:t>
      </w:r>
      <w:r>
        <w:rPr>
          <w:rFonts w:ascii="宋体" w:hAnsi="Times New Roman" w:eastAsia="宋体"/>
          <w:b w:val="false"/>
          <w:i w:val="false"/>
          <w:color w:val="000000"/>
          <w:sz w:val="22"/>
        </w:rPr>
        <w:t>。</w:t>
      </w:r>
    </w:p>
    <w:bookmarkEnd w:id="72"/>
    <w:bookmarkStart w:name="89757020bf8fc5be492d58c840400017" w:id="73"/>
    <w:p>
      <w:pPr>
        <w:numPr>
          <w:ilvl w:val="0"/>
          <w:numId w:val="5"/>
        </w:numPr>
        <w:spacing w:after="50" w:line="360" w:lineRule="auto" w:beforeLines="100"/>
        <w:ind w:left="360"/>
        <w:jc w:val="left"/>
      </w:pPr>
      <w:r>
        <w:rPr>
          <w:rFonts w:ascii="宋体" w:hAnsi="Times New Roman" w:eastAsia="宋体"/>
          <w:b w:val="false"/>
          <w:i w:val="false"/>
          <w:color w:val="000000"/>
          <w:sz w:val="22"/>
        </w:rPr>
        <w:t>自动化清洁将原先需要30天的清洁周期缩短至14天，</w:t>
      </w:r>
      <w:r>
        <w:rPr>
          <w:rFonts w:ascii="宋体" w:hAnsi="Times New Roman" w:eastAsia="宋体"/>
          <w:b/>
          <w:i w:val="false"/>
          <w:color w:val="07787e"/>
          <w:sz w:val="22"/>
        </w:rPr>
        <w:t>周期缩短了53.33%</w:t>
      </w:r>
      <w:r>
        <w:rPr>
          <w:rFonts w:ascii="宋体" w:hAnsi="Times New Roman" w:eastAsia="宋体"/>
          <w:b w:val="false"/>
          <w:i w:val="false"/>
          <w:color w:val="000000"/>
          <w:sz w:val="22"/>
        </w:rPr>
        <w:t>，大幅提升了运维效率和发电量。</w:t>
      </w:r>
    </w:p>
    <w:bookmarkEnd w:id="73"/>
    <w:bookmarkStart w:name="u10fa018c" w:id="74"/>
    <w:p>
      <w:pPr>
        <w:spacing w:after="50" w:line="360" w:lineRule="auto" w:beforeLines="100"/>
        <w:ind w:left="0"/>
        <w:jc w:val="left"/>
      </w:pPr>
      <w:bookmarkStart w:name="uf9232111" w:id="75"/>
      <w:r>
        <w:rPr>
          <w:rFonts w:eastAsia="宋体" w:ascii="宋体"/>
        </w:rPr>
        <w:t>[MISSING IMAGE: ,  ]</w:t>
      </w:r>
      <w:bookmarkEnd w:id="75"/>
    </w:p>
    <w:bookmarkEnd w:id="74"/>
    <w:bookmarkStart w:name="8yTmv" w:id="76"/>
    <w:p>
      <w:pPr>
        <w:pStyle w:val="Heading4"/>
        <w:spacing w:after="50" w:line="360" w:lineRule="auto" w:beforeLines="100"/>
        <w:ind w:left="0"/>
        <w:jc w:val="left"/>
      </w:pPr>
      <w:r>
        <w:rPr>
          <w:rFonts w:ascii="宋体" w:hAnsi="Times New Roman" w:eastAsia="宋体"/>
          <w:color w:val="07787e"/>
        </w:rPr>
        <w:t>4.2.2 智能检测与诊断技术</w:t>
      </w:r>
    </w:p>
    <w:bookmarkEnd w:id="76"/>
    <w:bookmarkStart w:name="70bcfdeff20ac30ad37120e5f2a5548b" w:id="77"/>
    <w:p>
      <w:pPr>
        <w:spacing w:after="50" w:line="360" w:lineRule="auto" w:beforeLines="100"/>
        <w:ind w:left="0"/>
        <w:jc w:val="left"/>
      </w:pPr>
      <w:r>
        <w:rPr>
          <w:rFonts w:ascii="宋体" w:hAnsi="Times New Roman" w:eastAsia="宋体"/>
          <w:b w:val="false"/>
          <w:i w:val="false"/>
          <w:color w:val="000000"/>
          <w:sz w:val="22"/>
        </w:rPr>
        <w:t>组件隐裂、热斑等内部缺陷是传统人工巡检难以发现的“隐形杀手”。现代智能检测技术通过“空地一体”的协同作战，实现了对这些缺陷的精准打击。</w:t>
      </w:r>
    </w:p>
    <w:bookmarkEnd w:id="77"/>
    <w:bookmarkStart w:name="75703cde4bf5152f6b3f742636556237" w:id="78"/>
    <w:p>
      <w:pPr>
        <w:numPr>
          <w:ilvl w:val="0"/>
          <w:numId w:val="6"/>
        </w:numPr>
        <w:spacing w:after="50" w:line="360" w:lineRule="auto" w:beforeLines="100"/>
        <w:ind w:left="360"/>
        <w:jc w:val="left"/>
      </w:pPr>
      <w:r>
        <w:rPr>
          <w:rFonts w:ascii="宋体" w:hAnsi="Times New Roman" w:eastAsia="宋体"/>
          <w:b/>
          <w:i w:val="false"/>
          <w:color w:val="07787e"/>
          <w:sz w:val="22"/>
          <w:u w:val="single"/>
        </w:rPr>
        <w:t>技术组合</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利用</w:t>
      </w:r>
      <w:r>
        <w:rPr>
          <w:rFonts w:ascii="宋体" w:hAnsi="Times New Roman" w:eastAsia="宋体"/>
          <w:b/>
          <w:i w:val="false"/>
          <w:color w:val="07787e"/>
          <w:sz w:val="22"/>
        </w:rPr>
        <w:t>无人机搭载热成像模块</w:t>
      </w:r>
      <w:r>
        <w:rPr>
          <w:rFonts w:ascii="宋体" w:hAnsi="Times New Roman" w:eastAsia="宋体"/>
          <w:b w:val="false"/>
          <w:i w:val="false"/>
          <w:color w:val="000000"/>
          <w:sz w:val="22"/>
        </w:rPr>
        <w:t>进行宏观快速筛查，再结合便携式</w:t>
      </w:r>
      <w:r>
        <w:rPr>
          <w:rFonts w:ascii="宋体" w:hAnsi="Times New Roman" w:eastAsia="宋体"/>
          <w:b/>
          <w:i w:val="false"/>
          <w:color w:val="07787e"/>
          <w:sz w:val="22"/>
        </w:rPr>
        <w:t>EL（电致发光）检测</w:t>
      </w:r>
      <w:r>
        <w:rPr>
          <w:rFonts w:ascii="宋体" w:hAnsi="Times New Roman" w:eastAsia="宋体"/>
          <w:b w:val="false"/>
          <w:i w:val="false"/>
          <w:color w:val="000000"/>
          <w:sz w:val="22"/>
        </w:rPr>
        <w:t>设备进行微观精准定位。</w:t>
      </w:r>
    </w:p>
    <w:bookmarkEnd w:id="78"/>
    <w:bookmarkStart w:name="39d33a0f1c2d681ecea288b6fe59d717" w:id="79"/>
    <w:p>
      <w:pPr>
        <w:numPr>
          <w:ilvl w:val="0"/>
          <w:numId w:val="6"/>
        </w:numPr>
        <w:spacing w:after="50" w:line="360" w:lineRule="auto" w:beforeLines="100"/>
        <w:ind w:left="360"/>
        <w:jc w:val="left"/>
      </w:pPr>
      <w:r>
        <w:rPr>
          <w:rFonts w:ascii="宋体" w:hAnsi="Times New Roman" w:eastAsia="宋体"/>
          <w:b/>
          <w:i w:val="false"/>
          <w:color w:val="07787e"/>
          <w:sz w:val="22"/>
          <w:u w:val="single"/>
        </w:rPr>
        <w:t>精准高效</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检测精度可达</w:t>
      </w:r>
      <w:r>
        <w:rPr>
          <w:rFonts w:ascii="宋体" w:hAnsi="Times New Roman" w:eastAsia="宋体"/>
          <w:b w:val="false"/>
          <w:i w:val="false"/>
          <w:color w:val="07787e"/>
          <w:sz w:val="22"/>
        </w:rPr>
        <w:t xml:space="preserve"> </w:t>
      </w:r>
      <w:r>
        <w:rPr>
          <w:rFonts w:ascii="宋体" w:hAnsi="Times New Roman" w:eastAsia="宋体"/>
          <w:b/>
          <w:i w:val="false"/>
          <w:color w:val="07787e"/>
          <w:sz w:val="22"/>
        </w:rPr>
        <w:t>0.1mm</w:t>
      </w:r>
      <w:r>
        <w:rPr>
          <w:rFonts w:ascii="宋体" w:hAnsi="Times New Roman" w:eastAsia="宋体"/>
          <w:b w:val="false"/>
          <w:i w:val="false"/>
          <w:color w:val="000000"/>
          <w:sz w:val="22"/>
        </w:rPr>
        <w:t>，能够快速锁定每一个问题组件。</w:t>
      </w:r>
    </w:p>
    <w:bookmarkEnd w:id="79"/>
    <w:bookmarkStart w:name="01ea9cc9debf9bd1929afa0aa61332fa" w:id="80"/>
    <w:p>
      <w:pPr>
        <w:numPr>
          <w:ilvl w:val="0"/>
          <w:numId w:val="6"/>
        </w:numPr>
        <w:spacing w:after="50" w:line="360" w:lineRule="auto" w:beforeLines="100"/>
        <w:ind w:left="360"/>
        <w:jc w:val="left"/>
      </w:pPr>
      <w:r>
        <w:rPr>
          <w:rFonts w:ascii="宋体" w:hAnsi="Times New Roman" w:eastAsia="宋体"/>
          <w:b/>
          <w:i w:val="false"/>
          <w:color w:val="07787e"/>
          <w:sz w:val="22"/>
          <w:u w:val="single"/>
        </w:rPr>
        <w:t>价值闭环</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基于精准诊断，可以采取更换或修复等针对性措施，修复后的组件</w:t>
      </w:r>
      <w:r>
        <w:rPr>
          <w:rFonts w:ascii="宋体" w:hAnsi="Times New Roman" w:eastAsia="宋体"/>
          <w:b/>
          <w:i w:val="false"/>
          <w:color w:val="07787e"/>
          <w:sz w:val="22"/>
        </w:rPr>
        <w:t>功率恢复率可达95.34%</w:t>
      </w:r>
      <w:r>
        <w:rPr>
          <w:rFonts w:ascii="宋体" w:hAnsi="Times New Roman" w:eastAsia="宋体"/>
          <w:b w:val="false"/>
          <w:i w:val="false"/>
          <w:color w:val="000000"/>
          <w:sz w:val="22"/>
        </w:rPr>
        <w:t>，避免了“带病运行”造成的长期发电损失。</w:t>
      </w:r>
    </w:p>
    <w:bookmarkEnd w:id="80"/>
    <w:bookmarkStart w:name="EfD5O" w:id="81"/>
    <w:p>
      <w:pPr>
        <w:pStyle w:val="Heading4"/>
        <w:spacing w:after="50" w:line="360" w:lineRule="auto" w:beforeLines="100"/>
        <w:ind w:left="0"/>
        <w:jc w:val="left"/>
      </w:pPr>
      <w:r>
        <w:rPr>
          <w:rFonts w:ascii="宋体" w:hAnsi="Times New Roman" w:eastAsia="宋体"/>
          <w:color w:val="07787e"/>
        </w:rPr>
        <w:t>4.2.3 集成化数字管理平台</w:t>
      </w:r>
    </w:p>
    <w:bookmarkEnd w:id="81"/>
    <w:bookmarkStart w:name="eccd92e4c08e7ad69ae14570ed687f30" w:id="82"/>
    <w:p>
      <w:pPr>
        <w:spacing w:after="50" w:line="360" w:lineRule="auto" w:beforeLines="100"/>
        <w:ind w:left="0"/>
        <w:jc w:val="left"/>
      </w:pPr>
      <w:r>
        <w:rPr>
          <w:rFonts w:ascii="宋体" w:hAnsi="Times New Roman" w:eastAsia="宋体"/>
          <w:b w:val="false"/>
          <w:i w:val="false"/>
          <w:color w:val="000000"/>
          <w:sz w:val="22"/>
        </w:rPr>
        <w:t>这是实现“无人值守”的核心中枢。一个先进的数字化管理平台（如基于AWS IoT Core或专业厂商开发的系统），能够将来自光伏组件、逆变器、机器人、气象站等所有设备的数据进行汇集、处理和可视化呈现。用户可以通过中央指挥界面，直观地看到“机器人智慧运维”、“数据集成平台”等核心模块，实时监控辐照度（W/m²）、机器人状态（在线/离线）等关键指标，并查阅具体到“区域: 1-1 至 1-15”的详细运营日志。</w:t>
      </w:r>
    </w:p>
    <w:bookmarkEnd w:id="82"/>
    <w:bookmarkStart w:name="bb1226945c21f69b31f376a72803805f" w:id="83"/>
    <w:p>
      <w:pPr>
        <w:numPr>
          <w:ilvl w:val="0"/>
          <w:numId w:val="7"/>
        </w:numPr>
        <w:spacing w:after="50" w:line="360" w:lineRule="auto" w:beforeLines="100"/>
        <w:ind w:left="360"/>
        <w:jc w:val="left"/>
      </w:pPr>
      <w:r>
        <w:rPr>
          <w:rFonts w:ascii="宋体" w:hAnsi="Times New Roman" w:eastAsia="宋体"/>
          <w:b/>
          <w:i w:val="false"/>
          <w:color w:val="07787e"/>
          <w:sz w:val="22"/>
          <w:u w:val="single"/>
        </w:rPr>
        <w:t>全局监控</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实现对电站运行状态的“一图尽览”。</w:t>
      </w:r>
    </w:p>
    <w:bookmarkEnd w:id="83"/>
    <w:bookmarkStart w:name="679eedb1a795baf82c7907fd75c3b506" w:id="84"/>
    <w:p>
      <w:pPr>
        <w:numPr>
          <w:ilvl w:val="0"/>
          <w:numId w:val="7"/>
        </w:numPr>
        <w:spacing w:after="50" w:line="360" w:lineRule="auto" w:beforeLines="100"/>
        <w:ind w:left="360"/>
        <w:jc w:val="left"/>
      </w:pPr>
      <w:r>
        <w:rPr>
          <w:rFonts w:ascii="宋体" w:hAnsi="Times New Roman" w:eastAsia="宋体"/>
          <w:b/>
          <w:i w:val="false"/>
          <w:color w:val="07787e"/>
          <w:sz w:val="22"/>
          <w:u w:val="single"/>
        </w:rPr>
        <w:t>智能分析</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通过AI算法进行性能实时分析、故障预测性报警和发电量损失归因。</w:t>
      </w:r>
    </w:p>
    <w:bookmarkEnd w:id="84"/>
    <w:bookmarkStart w:name="259f25745ec99f0ceee8c1a17ea28775" w:id="85"/>
    <w:p>
      <w:pPr>
        <w:numPr>
          <w:ilvl w:val="0"/>
          <w:numId w:val="7"/>
        </w:numPr>
        <w:spacing w:after="50" w:line="360" w:lineRule="auto" w:beforeLines="100"/>
        <w:ind w:left="360"/>
        <w:jc w:val="left"/>
      </w:pPr>
      <w:r>
        <w:rPr>
          <w:rFonts w:ascii="宋体" w:hAnsi="Times New Roman" w:eastAsia="宋体"/>
          <w:b/>
          <w:i w:val="false"/>
          <w:color w:val="07787e"/>
          <w:sz w:val="22"/>
          <w:u w:val="single"/>
        </w:rPr>
        <w:t>闭环管理</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平台可以自动生成最优的维护计划，并向清洁或巡检机器人下达指令，形成“监测-分析-决策-执行”的管理闭环。</w:t>
      </w:r>
    </w:p>
    <w:bookmarkEnd w:id="85"/>
    <w:bookmarkStart w:name="3dcd5d948484e30d585d0f05c3da35b4" w:id="86"/>
    <w:p>
      <w:pPr>
        <w:spacing w:after="50" w:line="360" w:lineRule="auto" w:beforeLines="100"/>
        <w:ind w:left="0"/>
        <w:jc w:val="left"/>
      </w:pPr>
      <w:r>
        <w:rPr>
          <w:rFonts w:ascii="宋体" w:hAnsi="Times New Roman" w:eastAsia="宋体"/>
          <w:b w:val="false"/>
          <w:i w:val="false"/>
          <w:color w:val="000000"/>
          <w:sz w:val="22"/>
        </w:rPr>
        <w:t>总而言之，智能化、数字化技术是激活存量电站潜能、实现价值飞跃的关键所在。它将电站运维从一个被动的成本中心，转变为一个主动的价值创造中心，为资产的长期、高效、稳定运行提供了坚实保障。</w:t>
      </w:r>
    </w:p>
    <w:bookmarkEnd w:id="86"/>
    <w:bookmarkStart w:name="u78f6aef4" w:id="87"/>
    <w:p>
      <w:pPr>
        <w:spacing w:after="50" w:line="360" w:lineRule="auto" w:beforeLines="100"/>
        <w:ind w:left="0"/>
        <w:jc w:val="left"/>
      </w:pPr>
      <w:bookmarkStart w:name="xkZOu" w:id="88"/>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17576800" cy="3937024"/>
                    </a:xfrm>
                    <a:prstGeom prst="rect">
                      <a:avLst/>
                    </a:prstGeom>
                  </pic:spPr>
                </pic:pic>
              </a:graphicData>
            </a:graphic>
          </wp:inline>
        </w:drawing>
      </w:r>
      <w:bookmarkEnd w:id="88"/>
    </w:p>
    <w:bookmarkEnd w:id="87"/>
    <w:bookmarkStart w:name="42a96e846fcc6dd1e760c28db25d9fe1" w:id="89"/>
    <w:p>
      <w:pPr>
        <w:spacing w:after="50" w:line="360" w:lineRule="auto" w:beforeLines="100"/>
        <w:ind w:left="0"/>
        <w:jc w:val="left"/>
      </w:pPr>
      <w:r>
        <w:rPr>
          <w:rFonts w:ascii="宋体" w:hAnsi="Times New Roman" w:eastAsia="宋体"/>
          <w:b w:val="false"/>
          <w:i w:val="false"/>
          <w:color w:val="000000"/>
          <w:sz w:val="22"/>
        </w:rPr>
        <w:t>对老旧光伏电站进行升级改造，不仅是一项技术上的革新，更是一笔回报丰厚的投资。本章节将从微观的直接经济回报和宏观的国家战略意义两个层面，全面评估其所能释放的巨大价值。</w:t>
      </w:r>
    </w:p>
    <w:bookmarkEnd w:id="89"/>
    <w:bookmarkStart w:name="gaIcg" w:id="90"/>
    <w:p>
      <w:pPr>
        <w:pStyle w:val="Heading3"/>
        <w:spacing w:after="50" w:line="360" w:lineRule="auto" w:beforeLines="100"/>
        <w:ind w:left="0"/>
        <w:jc w:val="left"/>
      </w:pPr>
      <w:r>
        <w:rPr>
          <w:rFonts w:ascii="宋体" w:hAnsi="Times New Roman" w:eastAsia="宋体"/>
          <w:color w:val="07787e"/>
        </w:rPr>
        <w:t>5.1 直接经济效益分析</w:t>
      </w:r>
    </w:p>
    <w:bookmarkEnd w:id="90"/>
    <w:bookmarkStart w:name="e72e73c437a1ae0859a8500a5d8bd3ff" w:id="91"/>
    <w:p>
      <w:pPr>
        <w:spacing w:after="50" w:line="360" w:lineRule="auto" w:beforeLines="100"/>
        <w:ind w:left="0"/>
        <w:jc w:val="left"/>
      </w:pPr>
      <w:r>
        <w:rPr>
          <w:rFonts w:ascii="宋体" w:hAnsi="Times New Roman" w:eastAsia="宋体"/>
          <w:b w:val="false"/>
          <w:i w:val="false"/>
          <w:color w:val="000000"/>
          <w:sz w:val="22"/>
        </w:rPr>
        <w:t>升级改造为电站资产带来的经济收益是直接且显著的，主要体现在以下几个方面：</w:t>
      </w:r>
    </w:p>
    <w:bookmarkEnd w:id="91"/>
    <w:bookmarkStart w:name="16e122d5d60207379491fe226d87b67e" w:id="92"/>
    <w:p>
      <w:pPr>
        <w:numPr>
          <w:ilvl w:val="0"/>
          <w:numId w:val="8"/>
        </w:numPr>
        <w:spacing w:after="50" w:line="360" w:lineRule="auto" w:beforeLines="100"/>
        <w:ind w:left="360"/>
        <w:jc w:val="left"/>
      </w:pPr>
      <w:r>
        <w:rPr>
          <w:rFonts w:ascii="宋体" w:hAnsi="Times New Roman" w:eastAsia="宋体"/>
          <w:b/>
          <w:i w:val="false"/>
          <w:color w:val="07787e"/>
          <w:sz w:val="22"/>
          <w:u w:val="single"/>
        </w:rPr>
        <w:t>发电量显著提升</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这是最核心的收益来源。通过更换高效组件、优化系统设计和引入智能运维，能够大幅提高单位面积的发电能力和全生命周期的发电总量。</w:t>
      </w:r>
    </w:p>
    <w:bookmarkEnd w:id="92"/>
    <w:bookmarkStart w:name="0b2ab85b7d3e4ca8f7a45ef20e7da909" w:id="93"/>
    <w:p>
      <w:pPr>
        <w:numPr>
          <w:ilvl w:val="0"/>
          <w:numId w:val="8"/>
        </w:numPr>
        <w:spacing w:after="50" w:line="360" w:lineRule="auto" w:beforeLines="100"/>
        <w:ind w:left="360"/>
        <w:jc w:val="left"/>
      </w:pPr>
      <w:r>
        <w:rPr>
          <w:rFonts w:ascii="宋体" w:hAnsi="Times New Roman" w:eastAsia="宋体"/>
          <w:b/>
          <w:i w:val="false"/>
          <w:color w:val="07787e"/>
          <w:sz w:val="22"/>
          <w:u w:val="single"/>
        </w:rPr>
        <w:t>运维成本大幅降低</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以智能化、无人化运维替代传统人海战术，根据《老旧光伏电站技改方案》设定的目标，可实现</w:t>
      </w:r>
      <w:r>
        <w:rPr>
          <w:rFonts w:ascii="宋体" w:hAnsi="Times New Roman" w:eastAsia="宋体"/>
          <w:b/>
          <w:i w:val="false"/>
          <w:color w:val="07787e"/>
          <w:sz w:val="22"/>
        </w:rPr>
        <w:t>运维人力下降30%，故障停机时长降低50%</w:t>
      </w:r>
      <w:r>
        <w:rPr>
          <w:rFonts w:ascii="宋体" w:hAnsi="Times New Roman" w:eastAsia="宋体"/>
          <w:b w:val="false"/>
          <w:i w:val="false"/>
          <w:color w:val="000000"/>
          <w:sz w:val="22"/>
        </w:rPr>
        <w:t>，直接节约运营支出。</w:t>
      </w:r>
    </w:p>
    <w:bookmarkEnd w:id="93"/>
    <w:bookmarkStart w:name="e489e61721ec0208d224b382bc5c9bab" w:id="94"/>
    <w:p>
      <w:pPr>
        <w:numPr>
          <w:ilvl w:val="0"/>
          <w:numId w:val="8"/>
        </w:numPr>
        <w:spacing w:after="50" w:line="360" w:lineRule="auto" w:beforeLines="100"/>
        <w:ind w:left="360"/>
        <w:jc w:val="left"/>
      </w:pPr>
      <w:r>
        <w:rPr>
          <w:rFonts w:ascii="宋体" w:hAnsi="Times New Roman" w:eastAsia="宋体"/>
          <w:b/>
          <w:i w:val="false"/>
          <w:color w:val="07787e"/>
          <w:sz w:val="22"/>
          <w:u w:val="single"/>
        </w:rPr>
        <w:t>设备安全性与可靠性提高</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更新老化设备、消除安全隐患，能够有效减少因设备故障导致的发电损失和潜在的并网考核罚款。</w:t>
      </w:r>
    </w:p>
    <w:bookmarkEnd w:id="94"/>
    <w:bookmarkStart w:name="d1afbf5c44235f582b6a9364c676d580" w:id="95"/>
    <w:p>
      <w:pPr>
        <w:numPr>
          <w:ilvl w:val="0"/>
          <w:numId w:val="8"/>
        </w:numPr>
        <w:spacing w:after="50" w:line="360" w:lineRule="auto" w:beforeLines="100"/>
        <w:ind w:left="360"/>
        <w:jc w:val="left"/>
      </w:pPr>
      <w:r>
        <w:rPr>
          <w:rFonts w:ascii="宋体" w:hAnsi="Times New Roman" w:eastAsia="宋体"/>
          <w:b/>
          <w:i w:val="false"/>
          <w:color w:val="07787e"/>
          <w:sz w:val="22"/>
          <w:u w:val="single"/>
        </w:rPr>
        <w:t>资产价值与寿命延长</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升级改造本质上是对固定资产的一次再投资，它不仅能提升电站当前的盈利能力，还能有效延长其经济寿命，从而提升整个项目的资产估值。</w:t>
      </w:r>
    </w:p>
    <w:bookmarkEnd w:id="95"/>
    <w:bookmarkStart w:name="04d998839a088382160545a2b5983498" w:id="96"/>
    <w:p>
      <w:pPr>
        <w:spacing w:after="50" w:line="360" w:lineRule="auto" w:beforeLines="100"/>
        <w:ind w:left="0"/>
        <w:jc w:val="left"/>
      </w:pPr>
      <w:r>
        <w:rPr>
          <w:rFonts w:ascii="宋体" w:hAnsi="Times New Roman" w:eastAsia="宋体"/>
          <w:b w:val="false"/>
          <w:i w:val="false"/>
          <w:color w:val="000000"/>
          <w:sz w:val="22"/>
        </w:rPr>
        <w:t>以一个装机容量为52.35MWp的光伏电站为例，实施综合性改造后的实测数据显示了显著的技术性能提升。</w:t>
      </w:r>
    </w:p>
    <w:bookmarkEnd w:id="96"/>
    <w:bookmarkStart w:name="5cd7203571c38abd2601f90dfb2e96e0" w:id="97"/>
    <w:p>
      <w:pPr>
        <w:spacing w:after="50" w:line="360" w:lineRule="auto" w:beforeLines="100"/>
        <w:ind w:left="0"/>
        <w:jc w:val="left"/>
      </w:pPr>
      <w:r>
        <w:rPr>
          <w:rFonts w:ascii="宋体" w:hAnsi="Times New Roman" w:eastAsia="宋体"/>
          <w:b/>
          <w:i w:val="false"/>
          <w:color w:val="07787e"/>
          <w:sz w:val="22"/>
        </w:rPr>
        <w:t>某52.35MWp光伏电站关键技术指标改造前后对比</w:t>
      </w:r>
    </w:p>
    <w:bookmarkEnd w:id="97"/>
    <w:bookmarkStart w:name="2b365d5c46eb793a6d47152c969eed4d" w:id="98"/>
    <w:p>
      <w:pPr>
        <w:spacing w:after="50" w:line="360" w:lineRule="auto" w:beforeLines="100"/>
        <w:ind w:left="0"/>
        <w:jc w:val="center"/>
      </w:pPr>
      <w:bookmarkStart w:name="u15d20f1e" w:id="99"/>
      <w:r>
        <w:rPr>
          <w:rFonts w:eastAsia="宋体" w:ascii="宋体"/>
        </w:rPr>
        <w:drawing>
          <wp:inline distT="0" distB="0" distL="0" distR="0">
            <wp:extent cx="5841999" cy="1990571"/>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5926666" cy="2019420"/>
                    </a:xfrm>
                    <a:prstGeom prst="rect">
                      <a:avLst/>
                    </a:prstGeom>
                  </pic:spPr>
                </pic:pic>
              </a:graphicData>
            </a:graphic>
          </wp:inline>
        </w:drawing>
      </w:r>
      <w:bookmarkEnd w:id="99"/>
    </w:p>
    <w:bookmarkEnd w:id="98"/>
    <w:bookmarkStart w:name="nZkP5" w:id="100"/>
    <w:p>
      <w:pPr>
        <w:pStyle w:val="Heading3"/>
        <w:spacing w:after="50" w:line="360" w:lineRule="auto" w:beforeLines="100"/>
        <w:ind w:left="0"/>
        <w:jc w:val="left"/>
      </w:pPr>
      <w:r>
        <w:rPr>
          <w:rFonts w:ascii="宋体" w:hAnsi="Times New Roman" w:eastAsia="宋体"/>
          <w:color w:val="07787e"/>
        </w:rPr>
        <w:t>5.2 广阔的市场机遇</w:t>
      </w:r>
    </w:p>
    <w:bookmarkEnd w:id="100"/>
    <w:bookmarkStart w:name="4862138f97b66737389c887d52cdaba6" w:id="101"/>
    <w:p>
      <w:pPr>
        <w:spacing w:after="50" w:line="360" w:lineRule="auto" w:beforeLines="100"/>
        <w:ind w:left="0"/>
        <w:jc w:val="left"/>
      </w:pPr>
      <w:r>
        <w:rPr>
          <w:rFonts w:ascii="宋体" w:hAnsi="Times New Roman" w:eastAsia="宋体"/>
          <w:b w:val="false"/>
          <w:i w:val="false"/>
          <w:color w:val="000000"/>
          <w:sz w:val="22"/>
        </w:rPr>
        <w:t xml:space="preserve">存量改造市场并非小众领域，而是一个潜力巨大的蓝海。据不完全统计，全国范围内具备技改空间的存量光伏电站规模约为 </w:t>
      </w:r>
      <w:r>
        <w:rPr>
          <w:rFonts w:ascii="宋体" w:hAnsi="Times New Roman" w:eastAsia="宋体"/>
          <w:b/>
          <w:i w:val="false"/>
          <w:color w:val="07787e"/>
          <w:sz w:val="22"/>
        </w:rPr>
        <w:t>16.3GW</w:t>
      </w:r>
      <w:r>
        <w:rPr>
          <w:rFonts w:ascii="宋体" w:hAnsi="Times New Roman" w:eastAsia="宋体"/>
          <w:b w:val="false"/>
          <w:i w:val="false"/>
          <w:color w:val="000000"/>
          <w:sz w:val="22"/>
        </w:rPr>
        <w:t>，若全部进行技改，可直接拉动近</w:t>
      </w:r>
      <w:r>
        <w:rPr>
          <w:rFonts w:ascii="宋体" w:hAnsi="Times New Roman" w:eastAsia="宋体"/>
          <w:b w:val="false"/>
          <w:i w:val="false"/>
          <w:color w:val="07787e"/>
          <w:sz w:val="22"/>
        </w:rPr>
        <w:t xml:space="preserve"> </w:t>
      </w:r>
      <w:r>
        <w:rPr>
          <w:rFonts w:ascii="宋体" w:hAnsi="Times New Roman" w:eastAsia="宋体"/>
          <w:b/>
          <w:i w:val="false"/>
          <w:color w:val="07787e"/>
          <w:sz w:val="22"/>
        </w:rPr>
        <w:t>400亿元</w:t>
      </w:r>
      <w:r>
        <w:rPr>
          <w:rFonts w:ascii="宋体" w:hAnsi="Times New Roman" w:eastAsia="宋体"/>
          <w:b w:val="false"/>
          <w:i w:val="false"/>
          <w:color w:val="07787e"/>
          <w:sz w:val="22"/>
        </w:rPr>
        <w:t xml:space="preserve"> </w:t>
      </w:r>
      <w:r>
        <w:rPr>
          <w:rFonts w:ascii="宋体" w:hAnsi="Times New Roman" w:eastAsia="宋体"/>
          <w:b w:val="false"/>
          <w:i w:val="false"/>
          <w:color w:val="000000"/>
          <w:sz w:val="22"/>
        </w:rPr>
        <w:t xml:space="preserve">的投资。此外，仅截至2014年底建成的、运行已近十年的光伏电站规模就高达 </w:t>
      </w:r>
      <w:r>
        <w:rPr>
          <w:rFonts w:ascii="宋体" w:hAnsi="Times New Roman" w:eastAsia="宋体"/>
          <w:b/>
          <w:i w:val="false"/>
          <w:color w:val="07787e"/>
          <w:sz w:val="22"/>
        </w:rPr>
        <w:t>19.5GW</w:t>
      </w:r>
      <w:r>
        <w:rPr>
          <w:rFonts w:ascii="宋体" w:hAnsi="Times New Roman" w:eastAsia="宋体"/>
          <w:b w:val="false"/>
          <w:i w:val="false"/>
          <w:color w:val="000000"/>
          <w:sz w:val="22"/>
        </w:rPr>
        <w:t>，这进一步印证了存量改造市场的广阔前景和深厚潜力。</w:t>
      </w:r>
    </w:p>
    <w:bookmarkEnd w:id="101"/>
    <w:bookmarkStart w:name="Ayk61" w:id="102"/>
    <w:p>
      <w:pPr>
        <w:pStyle w:val="Heading3"/>
        <w:spacing w:after="50" w:line="360" w:lineRule="auto" w:beforeLines="100"/>
        <w:ind w:left="0"/>
        <w:jc w:val="left"/>
      </w:pPr>
      <w:r>
        <w:rPr>
          <w:rFonts w:ascii="宋体" w:hAnsi="Times New Roman" w:eastAsia="宋体"/>
          <w:color w:val="07787e"/>
        </w:rPr>
        <w:t>5.3 宏观战略价值</w:t>
      </w:r>
    </w:p>
    <w:bookmarkEnd w:id="102"/>
    <w:bookmarkStart w:name="189d1873f80ad902a10d7ff4334f88aa" w:id="103"/>
    <w:p>
      <w:pPr>
        <w:spacing w:after="50" w:line="360" w:lineRule="auto" w:beforeLines="100"/>
        <w:ind w:left="0"/>
        <w:jc w:val="left"/>
      </w:pPr>
      <w:r>
        <w:rPr>
          <w:rFonts w:ascii="宋体" w:hAnsi="Times New Roman" w:eastAsia="宋体"/>
          <w:b w:val="false"/>
          <w:i w:val="false"/>
          <w:color w:val="000000"/>
          <w:sz w:val="22"/>
        </w:rPr>
        <w:t>将视线拉高，老旧光伏电站的升级改造承载着重要的国家战略意义：</w:t>
      </w:r>
    </w:p>
    <w:bookmarkEnd w:id="103"/>
    <w:bookmarkStart w:name="482014809837c1792fc683b98f561b65" w:id="104"/>
    <w:p>
      <w:pPr>
        <w:numPr>
          <w:ilvl w:val="0"/>
          <w:numId w:val="9"/>
        </w:numPr>
        <w:spacing w:after="50" w:line="360" w:lineRule="auto" w:beforeLines="100"/>
        <w:ind w:left="360"/>
        <w:jc w:val="left"/>
      </w:pPr>
      <w:r>
        <w:rPr>
          <w:rFonts w:ascii="宋体" w:hAnsi="Times New Roman" w:eastAsia="宋体"/>
          <w:b/>
          <w:i w:val="false"/>
          <w:color w:val="07787e"/>
          <w:sz w:val="22"/>
          <w:u w:val="single"/>
        </w:rPr>
        <w:t>助力“双碳”目标</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在不新增建设用地的前提下，大幅提升清洁电力的供应能力，是实现碳达峰、碳中和目标的高效路径。</w:t>
      </w:r>
    </w:p>
    <w:bookmarkEnd w:id="104"/>
    <w:bookmarkStart w:name="22288df29ac1c17447a42c97381ea776" w:id="105"/>
    <w:p>
      <w:pPr>
        <w:numPr>
          <w:ilvl w:val="0"/>
          <w:numId w:val="9"/>
        </w:numPr>
        <w:spacing w:after="50" w:line="360" w:lineRule="auto" w:beforeLines="100"/>
        <w:ind w:left="360"/>
        <w:jc w:val="left"/>
      </w:pPr>
      <w:r>
        <w:rPr>
          <w:rFonts w:ascii="宋体" w:hAnsi="Times New Roman" w:eastAsia="宋体"/>
          <w:b/>
          <w:i w:val="false"/>
          <w:color w:val="07787e"/>
          <w:sz w:val="22"/>
          <w:u w:val="single"/>
        </w:rPr>
        <w:t>推进平价上网</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通过技术进步持续降低度电成本，有助于推动新能源全面实现平价甚至低价上网，减轻财政补贴压力。</w:t>
      </w:r>
    </w:p>
    <w:bookmarkEnd w:id="105"/>
    <w:bookmarkStart w:name="70484fb889b7d7c4f4b3d15d76aafaad" w:id="106"/>
    <w:p>
      <w:pPr>
        <w:numPr>
          <w:ilvl w:val="0"/>
          <w:numId w:val="9"/>
        </w:numPr>
        <w:spacing w:after="50" w:line="360" w:lineRule="auto" w:beforeLines="100"/>
        <w:ind w:left="360"/>
        <w:jc w:val="left"/>
      </w:pPr>
      <w:r>
        <w:rPr>
          <w:rFonts w:ascii="宋体" w:hAnsi="Times New Roman" w:eastAsia="宋体"/>
          <w:b/>
          <w:i w:val="false"/>
          <w:color w:val="07787e"/>
          <w:sz w:val="22"/>
          <w:u w:val="single"/>
        </w:rPr>
        <w:t>保障能源安全</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盘活并提升现有能源基础设施的效能，是增强国内能源自给能力、保障国家能源安全的重要组成部分。</w:t>
      </w:r>
    </w:p>
    <w:bookmarkEnd w:id="106"/>
    <w:bookmarkStart w:name="f98efe644a8625d1253137a677843fa0" w:id="107"/>
    <w:p>
      <w:pPr>
        <w:numPr>
          <w:ilvl w:val="0"/>
          <w:numId w:val="9"/>
        </w:numPr>
        <w:spacing w:after="50" w:line="360" w:lineRule="auto" w:beforeLines="100"/>
        <w:ind w:left="360"/>
        <w:jc w:val="left"/>
      </w:pPr>
      <w:r>
        <w:rPr>
          <w:rFonts w:ascii="宋体" w:hAnsi="Times New Roman" w:eastAsia="宋体"/>
          <w:b/>
          <w:i w:val="false"/>
          <w:color w:val="07787e"/>
          <w:sz w:val="22"/>
          <w:u w:val="single"/>
        </w:rPr>
        <w:t>高效利用国土资源</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在土地资源日益紧张的背景下，提高单位土地的能源产出效率，具有深远的社会和经济价值。</w:t>
      </w:r>
    </w:p>
    <w:bookmarkEnd w:id="107"/>
    <w:bookmarkStart w:name="5cda41cbbe06447d46b38197198837a6" w:id="108"/>
    <w:p>
      <w:pPr>
        <w:spacing w:after="50" w:line="360" w:lineRule="auto" w:beforeLines="100"/>
        <w:ind w:left="0"/>
        <w:jc w:val="left"/>
      </w:pPr>
      <w:r>
        <w:rPr>
          <w:rFonts w:ascii="宋体" w:hAnsi="Times New Roman" w:eastAsia="宋体"/>
          <w:b w:val="false"/>
          <w:i w:val="false"/>
          <w:color w:val="000000"/>
          <w:sz w:val="22"/>
        </w:rPr>
        <w:t>综上所述，投资于老旧光伏电站的升级改造，不仅是一项能够带来丰厚财务回报的商业决策，更是一项深度契合国家能源转型和可持续发展长远战略的明智之举。</w:t>
      </w:r>
    </w:p>
    <w:bookmarkEnd w:id="108"/>
    <w:bookmarkStart w:name="uf6c61fe2" w:id="109"/>
    <w:p>
      <w:pPr>
        <w:spacing w:after="50" w:line="360" w:lineRule="auto" w:beforeLines="100"/>
        <w:ind w:left="0"/>
        <w:jc w:val="left"/>
      </w:pPr>
      <w:bookmarkStart w:name="Kzbi4" w:id="110"/>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17576800" cy="3937024"/>
                    </a:xfrm>
                    <a:prstGeom prst="rect">
                      <a:avLst/>
                    </a:prstGeom>
                  </pic:spPr>
                </pic:pic>
              </a:graphicData>
            </a:graphic>
          </wp:inline>
        </w:drawing>
      </w:r>
      <w:bookmarkEnd w:id="110"/>
    </w:p>
    <w:bookmarkEnd w:id="109"/>
    <w:bookmarkStart w:name="f47ff62f1b2fab08b39d778d68ec91d0" w:id="111"/>
    <w:p>
      <w:pPr>
        <w:spacing w:after="50" w:line="360" w:lineRule="auto" w:beforeLines="100"/>
        <w:ind w:left="0"/>
        <w:jc w:val="left"/>
      </w:pPr>
      <w:r>
        <w:rPr>
          <w:rFonts w:ascii="宋体" w:hAnsi="Times New Roman" w:eastAsia="宋体"/>
          <w:b w:val="false"/>
          <w:i w:val="false"/>
          <w:color w:val="000000"/>
          <w:sz w:val="22"/>
        </w:rPr>
        <w:t>尽管老旧光伏电站升级改造的前景广阔、价值巨大，但在实际推进过程中，依然面临着一系列来自政策、电网、土地和管理层面的挑战。识别这些障碍并提出建设性的解决方案，是推动这一市场健康、有序发展的关键。</w:t>
      </w:r>
    </w:p>
    <w:bookmarkEnd w:id="111"/>
    <w:bookmarkStart w:name="N5qSJ" w:id="112"/>
    <w:p>
      <w:pPr>
        <w:pStyle w:val="Heading3"/>
        <w:spacing w:after="50" w:line="360" w:lineRule="auto" w:beforeLines="100"/>
        <w:ind w:left="0"/>
        <w:jc w:val="left"/>
      </w:pPr>
      <w:r>
        <w:rPr>
          <w:rFonts w:ascii="宋体" w:hAnsi="Times New Roman" w:eastAsia="宋体"/>
          <w:color w:val="07787e"/>
        </w:rPr>
        <w:t>6.1 面临的主要挑战</w:t>
      </w:r>
    </w:p>
    <w:bookmarkEnd w:id="112"/>
    <w:bookmarkStart w:name="920277dc3817b01586da1f859ba8b5aa" w:id="113"/>
    <w:p>
      <w:pPr>
        <w:spacing w:after="50" w:line="360" w:lineRule="auto" w:beforeLines="100"/>
        <w:ind w:left="0"/>
        <w:jc w:val="left"/>
      </w:pPr>
      <w:r>
        <w:rPr>
          <w:rFonts w:ascii="宋体" w:hAnsi="Times New Roman" w:eastAsia="宋体"/>
          <w:b w:val="false"/>
          <w:i w:val="false"/>
          <w:color w:val="000000"/>
          <w:sz w:val="22"/>
        </w:rPr>
        <w:t>当前，存量电站的升级改造主要面临以下五大核心问题：</w:t>
      </w:r>
    </w:p>
    <w:bookmarkEnd w:id="113"/>
    <w:bookmarkStart w:name="bdb6dfd7e19487ea7debfebfd2317607" w:id="114"/>
    <w:p>
      <w:pPr>
        <w:numPr>
          <w:ilvl w:val="0"/>
          <w:numId w:val="10"/>
        </w:numPr>
        <w:spacing w:after="50" w:line="360" w:lineRule="auto" w:beforeLines="100"/>
        <w:ind w:left="360"/>
        <w:jc w:val="left"/>
      </w:pPr>
      <w:r>
        <w:rPr>
          <w:rFonts w:ascii="宋体" w:hAnsi="Times New Roman" w:eastAsia="宋体"/>
          <w:b/>
          <w:i w:val="false"/>
          <w:color w:val="07787e"/>
          <w:sz w:val="22"/>
          <w:u w:val="single"/>
        </w:rPr>
        <w:t>项目管理体系问题</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行业内尚缺乏一套完善、统一的改造项目评价标准和管理原则，导致项目评估、决策和实施流程不明确。</w:t>
      </w:r>
    </w:p>
    <w:bookmarkEnd w:id="114"/>
    <w:bookmarkStart w:name="c2a8d3ad323d29e5c695c389074f61ed" w:id="115"/>
    <w:p>
      <w:pPr>
        <w:numPr>
          <w:ilvl w:val="0"/>
          <w:numId w:val="10"/>
        </w:numPr>
        <w:spacing w:after="50" w:line="360" w:lineRule="auto" w:beforeLines="100"/>
        <w:ind w:left="360"/>
        <w:jc w:val="left"/>
      </w:pPr>
      <w:r>
        <w:rPr>
          <w:rFonts w:ascii="宋体" w:hAnsi="Times New Roman" w:eastAsia="宋体"/>
          <w:b/>
          <w:i w:val="false"/>
          <w:color w:val="07787e"/>
          <w:sz w:val="22"/>
          <w:u w:val="single"/>
        </w:rPr>
        <w:t>补贴项目核算问题</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大量老旧电站是早期的国家补贴项目。改造后，新增发电量的补贴如何界定和核算，政策尚不清晰，这直接影响了项目所有方的投资决策积极性。</w:t>
      </w:r>
    </w:p>
    <w:bookmarkEnd w:id="115"/>
    <w:bookmarkStart w:name="c598b2775fb53e898c0faf03c2e259a4" w:id="116"/>
    <w:p>
      <w:pPr>
        <w:numPr>
          <w:ilvl w:val="0"/>
          <w:numId w:val="10"/>
        </w:numPr>
        <w:spacing w:after="50" w:line="360" w:lineRule="auto" w:beforeLines="100"/>
        <w:ind w:left="360"/>
        <w:jc w:val="left"/>
      </w:pPr>
      <w:r>
        <w:rPr>
          <w:rFonts w:ascii="宋体" w:hAnsi="Times New Roman" w:eastAsia="宋体"/>
          <w:b/>
          <w:i w:val="false"/>
          <w:color w:val="07787e"/>
          <w:sz w:val="22"/>
          <w:u w:val="single"/>
        </w:rPr>
        <w:t>电网安全与接入问题</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大规模、集中式的电站改造可能对局部电网的稳定性造成冲击。特别是增容改造项目，需要重新进行接入系统校核，审批流程可能较为复杂。</w:t>
      </w:r>
    </w:p>
    <w:bookmarkEnd w:id="116"/>
    <w:bookmarkStart w:name="ce4ae750809d1d32abdd3bc0e3a43494" w:id="117"/>
    <w:p>
      <w:pPr>
        <w:numPr>
          <w:ilvl w:val="0"/>
          <w:numId w:val="10"/>
        </w:numPr>
        <w:spacing w:after="50" w:line="360" w:lineRule="auto" w:beforeLines="100"/>
        <w:ind w:left="360"/>
        <w:jc w:val="left"/>
      </w:pPr>
      <w:r>
        <w:rPr>
          <w:rFonts w:ascii="宋体" w:hAnsi="Times New Roman" w:eastAsia="宋体"/>
          <w:b/>
          <w:i w:val="false"/>
          <w:color w:val="07787e"/>
          <w:sz w:val="22"/>
          <w:u w:val="single"/>
        </w:rPr>
        <w:t>项目用地管理问题</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部分老旧电站在运营期间，其所在地的土地政策或属性可能发生变化，导致在改造过程中面临用地手续变更的复杂性。</w:t>
      </w:r>
    </w:p>
    <w:bookmarkEnd w:id="117"/>
    <w:bookmarkStart w:name="2c8ec9473b7ab1b7743e4b88ebb8b131" w:id="118"/>
    <w:p>
      <w:pPr>
        <w:numPr>
          <w:ilvl w:val="0"/>
          <w:numId w:val="10"/>
        </w:numPr>
        <w:spacing w:after="50" w:line="360" w:lineRule="auto" w:beforeLines="100"/>
        <w:ind w:left="360"/>
        <w:jc w:val="left"/>
      </w:pPr>
      <w:r>
        <w:rPr>
          <w:rFonts w:ascii="宋体" w:hAnsi="Times New Roman" w:eastAsia="宋体"/>
          <w:b/>
          <w:i w:val="false"/>
          <w:color w:val="07787e"/>
          <w:sz w:val="22"/>
          <w:u w:val="single"/>
        </w:rPr>
        <w:t>设备更新与废弃物处理</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大规模的设备更新将产生海量的废旧光伏组件和电气设备，如何建立高效、环保的回收处理体系，是行业面临的新课题。</w:t>
      </w:r>
    </w:p>
    <w:bookmarkEnd w:id="118"/>
    <w:bookmarkStart w:name="TFho7" w:id="119"/>
    <w:p>
      <w:pPr>
        <w:pStyle w:val="Heading3"/>
        <w:spacing w:after="50" w:line="360" w:lineRule="auto" w:beforeLines="100"/>
        <w:ind w:left="0"/>
        <w:jc w:val="left"/>
      </w:pPr>
      <w:r>
        <w:rPr>
          <w:rFonts w:ascii="宋体" w:hAnsi="Times New Roman" w:eastAsia="宋体"/>
          <w:color w:val="07787e"/>
        </w:rPr>
        <w:t>6.2 政策与实施建议</w:t>
      </w:r>
    </w:p>
    <w:bookmarkEnd w:id="119"/>
    <w:bookmarkStart w:name="d500741a5f126369ce35aede028821b3" w:id="120"/>
    <w:p>
      <w:pPr>
        <w:spacing w:after="50" w:line="360" w:lineRule="auto" w:beforeLines="100"/>
        <w:ind w:left="0"/>
        <w:jc w:val="left"/>
      </w:pPr>
      <w:r>
        <w:rPr>
          <w:rFonts w:ascii="宋体" w:hAnsi="Times New Roman" w:eastAsia="宋体"/>
          <w:b w:val="false"/>
          <w:i w:val="false"/>
          <w:color w:val="000000"/>
          <w:sz w:val="22"/>
        </w:rPr>
        <w:t>为有效应对上述挑战，我们建议从顶层设计入手，多方协同，共同为存量改造铺平道路：</w:t>
      </w:r>
    </w:p>
    <w:bookmarkEnd w:id="120"/>
    <w:bookmarkStart w:name="5ccba4a686307dda4b56f2c1f618d613" w:id="121"/>
    <w:p>
      <w:pPr>
        <w:numPr>
          <w:ilvl w:val="0"/>
          <w:numId w:val="11"/>
        </w:numPr>
        <w:spacing w:after="50" w:line="360" w:lineRule="auto" w:beforeLines="100"/>
        <w:ind w:left="360"/>
        <w:jc w:val="left"/>
      </w:pPr>
      <w:r>
        <w:rPr>
          <w:rFonts w:ascii="宋体" w:hAnsi="Times New Roman" w:eastAsia="宋体"/>
          <w:b/>
          <w:i w:val="false"/>
          <w:color w:val="07787e"/>
          <w:sz w:val="22"/>
          <w:u w:val="single"/>
        </w:rPr>
        <w:t>完善顶层设计与管理流程</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建议国家能源主管部门牵头，研究并出台针对光伏电站升级改造的专项管理政策。明确项目的评价指标、适用范围、改造形式，并协同电网公司，优化和简化相关项目的审批流程。</w:t>
      </w:r>
    </w:p>
    <w:bookmarkEnd w:id="121"/>
    <w:bookmarkStart w:name="7fd1bf5766e22603cafe6e28f746d538" w:id="122"/>
    <w:p>
      <w:pPr>
        <w:numPr>
          <w:ilvl w:val="0"/>
          <w:numId w:val="11"/>
        </w:numPr>
        <w:spacing w:after="50" w:line="360" w:lineRule="auto" w:beforeLines="100"/>
        <w:ind w:left="360"/>
        <w:jc w:val="left"/>
      </w:pPr>
      <w:r>
        <w:rPr>
          <w:rFonts w:ascii="宋体" w:hAnsi="Times New Roman" w:eastAsia="宋体"/>
          <w:b/>
          <w:i w:val="false"/>
          <w:color w:val="07787e"/>
          <w:sz w:val="22"/>
          <w:u w:val="single"/>
        </w:rPr>
        <w:t>明确补贴核算方法</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建议对存量补贴项目采取“新老划断”的原则。即，原安装容量对应的发电量继续按照原有补贴政策执行；因改造而超出部分的发电量，则按照现行的平价上网政策进行结算。这一方案既保障了原有投资收益，又与当前市场环境接轨。</w:t>
      </w:r>
    </w:p>
    <w:bookmarkEnd w:id="122"/>
    <w:bookmarkStart w:name="363a8cbeee7b7e36c5dd75521d2bb2bb" w:id="123"/>
    <w:p>
      <w:pPr>
        <w:numPr>
          <w:ilvl w:val="0"/>
          <w:numId w:val="11"/>
        </w:numPr>
        <w:spacing w:after="50" w:line="360" w:lineRule="auto" w:beforeLines="100"/>
        <w:ind w:left="360"/>
        <w:jc w:val="left"/>
      </w:pPr>
      <w:r>
        <w:rPr>
          <w:rFonts w:ascii="宋体" w:hAnsi="Times New Roman" w:eastAsia="宋体"/>
          <w:b/>
          <w:i w:val="false"/>
          <w:color w:val="07787e"/>
          <w:sz w:val="22"/>
          <w:u w:val="single"/>
        </w:rPr>
        <w:t>强化电网规划与协同</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建议电网公司对区域内有改造意向的项目进行统一摸底和电网安全性校验。对于一定范围内的增容项目，可简化并网流程。同时，鼓励改造项目增配储能系统，以提升对电网的友好性，实现源网协同发展。</w:t>
      </w:r>
    </w:p>
    <w:bookmarkEnd w:id="123"/>
    <w:bookmarkStart w:name="1ffc1a7903e892316c6aecf95856662e" w:id="124"/>
    <w:p>
      <w:pPr>
        <w:numPr>
          <w:ilvl w:val="0"/>
          <w:numId w:val="11"/>
        </w:numPr>
        <w:spacing w:after="50" w:line="360" w:lineRule="auto" w:beforeLines="100"/>
        <w:ind w:left="360"/>
        <w:jc w:val="left"/>
      </w:pPr>
      <w:r>
        <w:rPr>
          <w:rFonts w:ascii="宋体" w:hAnsi="Times New Roman" w:eastAsia="宋体"/>
          <w:b/>
          <w:i w:val="false"/>
          <w:color w:val="07787e"/>
          <w:sz w:val="22"/>
          <w:u w:val="single"/>
        </w:rPr>
        <w:t>优化土地使用政策</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建议对于不增加占地面积的改造项目，其土地使用权可自动延续。对于确需增加用地的情况，应明确并简化相关的办理程序，以保障土地租用双方的合法权益，为项目顺利实施提供保障。</w:t>
      </w:r>
    </w:p>
    <w:bookmarkEnd w:id="124"/>
    <w:bookmarkStart w:name="11151e639c83aff35eabd3ca62333e2b" w:id="125"/>
    <w:p>
      <w:pPr>
        <w:spacing w:after="50" w:line="360" w:lineRule="auto" w:beforeLines="100"/>
        <w:ind w:left="0"/>
        <w:jc w:val="left"/>
      </w:pPr>
      <w:r>
        <w:rPr>
          <w:rFonts w:ascii="宋体" w:hAnsi="Times New Roman" w:eastAsia="宋体"/>
          <w:b w:val="false"/>
          <w:i w:val="false"/>
          <w:color w:val="000000"/>
          <w:sz w:val="22"/>
        </w:rPr>
        <w:t>通过政策的精准引导和产业链的通力协作，可以有效克服当前存量改造所面临的障碍，从而释放这一万亿级市场的巨大潜力。</w:t>
      </w:r>
    </w:p>
    <w:bookmarkEnd w:id="125"/>
    <w:bookmarkStart w:name="ua6894d76" w:id="126"/>
    <w:p>
      <w:pPr>
        <w:spacing w:after="50" w:line="360" w:lineRule="auto" w:beforeLines="100"/>
        <w:ind w:left="0"/>
        <w:jc w:val="left"/>
      </w:pPr>
      <w:bookmarkStart w:name="va5dg" w:id="127"/>
      <w:r>
        <w:rPr>
          <w:rFonts w:eastAsia="宋体" w:ascii="宋体"/>
        </w:rPr>
        <w:drawing>
          <wp:inline distT="0" distB="0" distL="0" distR="0">
            <wp:extent cx="5842000" cy="1308548"/>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17576800" cy="3937024"/>
                    </a:xfrm>
                    <a:prstGeom prst="rect">
                      <a:avLst/>
                    </a:prstGeom>
                  </pic:spPr>
                </pic:pic>
              </a:graphicData>
            </a:graphic>
          </wp:inline>
        </w:drawing>
      </w:r>
      <w:bookmarkEnd w:id="127"/>
    </w:p>
    <w:bookmarkEnd w:id="126"/>
    <w:bookmarkStart w:name="0d0b5a86d13071df2f1fe291a1b470b7" w:id="128"/>
    <w:p>
      <w:pPr>
        <w:spacing w:after="50" w:line="360" w:lineRule="auto" w:beforeLines="100"/>
        <w:ind w:left="0"/>
        <w:jc w:val="left"/>
      </w:pPr>
      <w:r>
        <w:rPr>
          <w:rFonts w:ascii="宋体" w:hAnsi="Times New Roman" w:eastAsia="宋体"/>
          <w:b w:val="false"/>
          <w:i w:val="false"/>
          <w:color w:val="000000"/>
          <w:sz w:val="22"/>
        </w:rPr>
        <w:t>在技术进步与能源转型的时代浪潮下，对中国庞大的存量光伏电站资产进行升级改造，已经不是一道“选择题”，而是一道关乎资产效益、能源安全和可持续发展的“必答题”。</w:t>
      </w:r>
    </w:p>
    <w:bookmarkEnd w:id="128"/>
    <w:bookmarkStart w:name="299ea22e9a9e9e277d418f6c5cf01a82" w:id="129"/>
    <w:p>
      <w:pPr>
        <w:spacing w:after="50" w:line="360" w:lineRule="auto" w:beforeLines="100"/>
        <w:ind w:left="0"/>
        <w:jc w:val="left"/>
      </w:pPr>
      <w:r>
        <w:rPr>
          <w:rFonts w:ascii="宋体" w:hAnsi="Times New Roman" w:eastAsia="宋体"/>
          <w:b w:val="false"/>
          <w:i w:val="false"/>
          <w:color w:val="000000"/>
          <w:sz w:val="22"/>
        </w:rPr>
        <w:t>本白皮书系统性地论证了，这一历史性机遇建立在三大坚实的支柱之上：</w:t>
      </w:r>
    </w:p>
    <w:bookmarkEnd w:id="129"/>
    <w:bookmarkStart w:name="2803a36e40246c657edb22694d2e4afa" w:id="130"/>
    <w:p>
      <w:pPr>
        <w:numPr>
          <w:ilvl w:val="0"/>
          <w:numId w:val="12"/>
        </w:numPr>
        <w:spacing w:after="50" w:line="360" w:lineRule="auto" w:beforeLines="100"/>
        <w:ind w:left="360"/>
        <w:jc w:val="left"/>
      </w:pPr>
      <w:r>
        <w:rPr>
          <w:rFonts w:ascii="宋体" w:hAnsi="Times New Roman" w:eastAsia="宋体"/>
          <w:b/>
          <w:i w:val="false"/>
          <w:color w:val="07787e"/>
          <w:sz w:val="22"/>
          <w:u w:val="single"/>
        </w:rPr>
        <w:t>经济可行性</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光伏技术的颠覆性成本下降与效率的飞跃式提升，确保了升级改造项目具备可观的投资回报率和强大的商业吸引力。</w:t>
      </w:r>
    </w:p>
    <w:bookmarkEnd w:id="130"/>
    <w:bookmarkStart w:name="587aed876607fb515342f44acd1c9c75" w:id="131"/>
    <w:p>
      <w:pPr>
        <w:numPr>
          <w:ilvl w:val="0"/>
          <w:numId w:val="12"/>
        </w:numPr>
        <w:spacing w:after="50" w:line="360" w:lineRule="auto" w:beforeLines="100"/>
        <w:ind w:left="360"/>
        <w:jc w:val="left"/>
      </w:pPr>
      <w:r>
        <w:rPr>
          <w:rFonts w:ascii="宋体" w:hAnsi="Times New Roman" w:eastAsia="宋体"/>
          <w:b/>
          <w:i w:val="false"/>
          <w:color w:val="07787e"/>
          <w:sz w:val="22"/>
          <w:u w:val="single"/>
        </w:rPr>
        <w:t>技术先进性</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以智能化、数字化运维为核心的新一代技术路径，是实现电站资产价值最大化的关键引擎，它将传统运维从成本中心转变为价值创造中心。</w:t>
      </w:r>
    </w:p>
    <w:bookmarkEnd w:id="131"/>
    <w:bookmarkStart w:name="a2f90d3c9d341b88c6a82a9b7099e1be" w:id="132"/>
    <w:p>
      <w:pPr>
        <w:numPr>
          <w:ilvl w:val="0"/>
          <w:numId w:val="12"/>
        </w:numPr>
        <w:spacing w:after="50" w:line="360" w:lineRule="auto" w:beforeLines="100"/>
        <w:ind w:left="360"/>
        <w:jc w:val="left"/>
      </w:pPr>
      <w:r>
        <w:rPr>
          <w:rFonts w:ascii="宋体" w:hAnsi="Times New Roman" w:eastAsia="宋体"/>
          <w:b/>
          <w:i w:val="false"/>
          <w:color w:val="07787e"/>
          <w:sz w:val="22"/>
          <w:u w:val="single"/>
        </w:rPr>
        <w:t>战略必要性</w:t>
      </w:r>
      <w:r>
        <w:rPr>
          <w:rFonts w:ascii="宋体" w:hAnsi="Times New Roman" w:eastAsia="宋体"/>
          <w:b w:val="false"/>
          <w:i w:val="false"/>
          <w:color w:val="07787e"/>
          <w:sz w:val="22"/>
          <w:u w:val="single"/>
        </w:rPr>
        <w:t>：</w:t>
      </w:r>
      <w:r>
        <w:rPr>
          <w:rFonts w:ascii="宋体" w:hAnsi="Times New Roman" w:eastAsia="宋体"/>
          <w:b w:val="false"/>
          <w:i w:val="false"/>
          <w:color w:val="000000"/>
          <w:sz w:val="22"/>
        </w:rPr>
        <w:t>在土地和电网资源日益紧张的背景下，升级改造是提高存量资源利用效率、助力国家“双碳”战略目标实现的必由之路。</w:t>
      </w:r>
    </w:p>
    <w:bookmarkEnd w:id="132"/>
    <w:bookmarkStart w:name="f76f0a76c57f6e13e0e1b5c583f858cc" w:id="133"/>
    <w:p>
      <w:pPr>
        <w:spacing w:after="50" w:line="360" w:lineRule="auto" w:beforeLines="100"/>
        <w:ind w:left="0"/>
        <w:jc w:val="left"/>
      </w:pPr>
      <w:r>
        <w:rPr>
          <w:rFonts w:ascii="宋体" w:hAnsi="Times New Roman" w:eastAsia="宋体"/>
          <w:b w:val="false"/>
          <w:i w:val="false"/>
          <w:color w:val="000000"/>
          <w:sz w:val="22"/>
        </w:rPr>
        <w:t>未来已来，行胜于言。我们在此发出行动号召，呼吁产业链的各方—包括资产所有者、技术方案提供商、金融机构以及政府监管部门——紧密协作，共同把握存量市场带来的历史性机遇。让我们携手将这些历经风雨的老旧电站，改造为高效、智能、安全的现代化能源资产，为构建清洁低碳、安全高效的未来能源体系贡献关键力量，共同开创智慧能源的新篇章。</w:t>
      </w:r>
    </w:p>
    <w:bookmarkEnd w:id="133"/>
    <w:bookmarkStart w:name="6613ea6ee33fea05c59563a3b141faa6" w:id="134"/>
    <w:p>
      <w:pPr>
        <w:spacing w:after="50" w:line="360" w:lineRule="auto" w:beforeLines="100"/>
        <w:ind w:left="0"/>
        <w:jc w:val="left"/>
      </w:pPr>
      <w:bookmarkStart w:name="u84891859" w:id="135"/>
      <w:r>
        <w:rPr>
          <w:rFonts w:eastAsia="宋体" w:ascii="宋体"/>
        </w:rPr>
        <w:drawing>
          <wp:inline distT="0" distB="0" distL="0" distR="0">
            <wp:extent cx="5842000" cy="162407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95927337" cy="26667706"/>
                    </a:xfrm>
                    <a:prstGeom prst="rect">
                      <a:avLst/>
                    </a:prstGeom>
                  </pic:spPr>
                </pic:pic>
              </a:graphicData>
            </a:graphic>
          </wp:inline>
        </w:drawing>
      </w:r>
      <w:bookmarkEnd w:id="135"/>
    </w:p>
    <w:bookmarkEnd w:id="134"/>
    <w:bookmarkStart w:name="u33cab519" w:id="136"/>
    <w:p>
      <w:pPr>
        <w:spacing w:after="50" w:line="360" w:lineRule="auto" w:beforeLines="100"/>
        <w:ind w:left="0"/>
        <w:jc w:val="left"/>
      </w:pPr>
      <w:bookmarkStart w:name="u23df1d88" w:id="137"/>
      <w:r>
        <w:rPr>
          <w:rFonts w:eastAsia="宋体" w:ascii="宋体"/>
        </w:rPr>
        <w:drawing>
          <wp:inline distT="0" distB="0" distL="0" distR="0">
            <wp:extent cx="5841999" cy="3294872"/>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4207067" cy="8012748"/>
                    </a:xfrm>
                    <a:prstGeom prst="rect">
                      <a:avLst/>
                    </a:prstGeom>
                  </pic:spPr>
                </pic:pic>
              </a:graphicData>
            </a:graphic>
          </wp:inline>
        </w:drawing>
      </w:r>
      <w:bookmarkEnd w:id="137"/>
    </w:p>
    <w:bookmarkEnd w:id="136"/>
    <w:bookmarkStart w:name="uac09a62e" w:id="138"/>
    <w:p>
      <w:pPr>
        <w:spacing w:after="50" w:line="360" w:lineRule="auto" w:beforeLines="100"/>
        <w:ind w:left="0"/>
        <w:jc w:val="left"/>
      </w:pPr>
      <w:bookmarkStart w:name="u88d305b8" w:id="139"/>
      <w:r>
        <w:rPr>
          <w:rFonts w:eastAsia="宋体" w:ascii="宋体"/>
        </w:rPr>
        <w:drawing>
          <wp:inline distT="0" distB="0" distL="0" distR="0">
            <wp:extent cx="5842000" cy="4726076"/>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8694400" cy="15123446"/>
                    </a:xfrm>
                    <a:prstGeom prst="rect">
                      <a:avLst/>
                    </a:prstGeom>
                  </pic:spPr>
                </pic:pic>
              </a:graphicData>
            </a:graphic>
          </wp:inline>
        </w:drawing>
      </w:r>
      <w:bookmarkEnd w:id="139"/>
    </w:p>
    <w:bookmarkEnd w:id="138"/>
    <w:bookmarkStart w:name="u2d29b052" w:id="140"/>
    <w:p>
      <w:pPr>
        <w:spacing w:after="50" w:line="360" w:lineRule="auto" w:beforeLines="100"/>
        <w:ind w:left="0"/>
        <w:jc w:val="left"/>
      </w:pPr>
      <w:bookmarkStart w:name="ue16fd594" w:id="141"/>
      <w:r>
        <w:rPr>
          <w:rFonts w:eastAsia="宋体" w:ascii="宋体"/>
        </w:rPr>
        <w:drawing>
          <wp:inline distT="0" distB="0" distL="0" distR="0">
            <wp:extent cx="5842000" cy="4848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22487466" cy="1866421"/>
                    </a:xfrm>
                    <a:prstGeom prst="rect">
                      <a:avLst/>
                    </a:prstGeom>
                  </pic:spPr>
                </pic:pic>
              </a:graphicData>
            </a:graphic>
          </wp:inline>
        </w:drawing>
      </w:r>
      <w:bookmarkEnd w:id="141"/>
    </w:p>
    <w:bookmarkEnd w:id="140"/>
    <w:bookmarkStart w:name="uf592d7c8" w:id="142"/>
    <w:p>
      <w:pPr>
        <w:spacing w:after="50" w:line="360" w:lineRule="auto" w:beforeLines="100"/>
        <w:ind w:left="0"/>
        <w:jc w:val="left"/>
      </w:pPr>
      <w:bookmarkStart w:name="u445654db" w:id="143"/>
      <w:r>
        <w:rPr>
          <w:rFonts w:eastAsia="宋体" w:ascii="宋体"/>
        </w:rPr>
        <w:drawing>
          <wp:inline distT="0" distB="0" distL="0" distR="0">
            <wp:extent cx="5841999" cy="86459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22690666" cy="3358120"/>
                    </a:xfrm>
                    <a:prstGeom prst="rect">
                      <a:avLst/>
                    </a:prstGeom>
                  </pic:spPr>
                </pic:pic>
              </a:graphicData>
            </a:graphic>
          </wp:inline>
        </w:drawing>
      </w:r>
      <w:bookmarkEnd w:id="143"/>
    </w:p>
    <w:bookmarkEnd w:id="142"/>
    <w:bookmarkStart w:name="u25c6a798" w:id="144"/>
    <w:p>
      <w:pPr>
        <w:spacing w:after="50" w:line="360" w:lineRule="auto" w:beforeLines="100"/>
        <w:ind w:left="0"/>
        <w:jc w:val="left"/>
      </w:pPr>
      <w:bookmarkStart w:name="ucff7462a" w:id="145"/>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63804800" cy="14419704"/>
                    </a:xfrm>
                    <a:prstGeom prst="rect">
                      <a:avLst/>
                    </a:prstGeom>
                  </pic:spPr>
                </pic:pic>
              </a:graphicData>
            </a:graphic>
          </wp:inline>
        </w:drawing>
      </w:r>
      <w:bookmarkEnd w:id="145"/>
      <w:bookmarkStart w:name="ua55789f2" w:id="146"/>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63804800" cy="14419704"/>
                    </a:xfrm>
                    <a:prstGeom prst="rect">
                      <a:avLst/>
                    </a:prstGeom>
                  </pic:spPr>
                </pic:pic>
              </a:graphicData>
            </a:graphic>
          </wp:inline>
        </w:drawing>
      </w:r>
      <w:bookmarkEnd w:id="146"/>
      <w:bookmarkStart w:name="u06bdb901" w:id="147"/>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63804800" cy="14419704"/>
                    </a:xfrm>
                    <a:prstGeom prst="rect">
                      <a:avLst/>
                    </a:prstGeom>
                  </pic:spPr>
                </pic:pic>
              </a:graphicData>
            </a:graphic>
          </wp:inline>
        </w:drawing>
      </w:r>
      <w:bookmarkEnd w:id="147"/>
      <w:bookmarkStart w:name="u8a35d044" w:id="148"/>
      <w:r>
        <w:rPr>
          <w:rFonts w:eastAsia="宋体" w:ascii="宋体"/>
        </w:rPr>
        <w:drawing>
          <wp:inline distT="0" distB="0" distL="0" distR="0">
            <wp:extent cx="5842000" cy="1320275"/>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63804800" cy="14419704"/>
                    </a:xfrm>
                    <a:prstGeom prst="rect">
                      <a:avLst/>
                    </a:prstGeom>
                  </pic:spPr>
                </pic:pic>
              </a:graphicData>
            </a:graphic>
          </wp:inline>
        </w:drawing>
      </w:r>
      <w:bookmarkEnd w:id="148"/>
    </w:p>
    <w:bookmarkEnd w:id="144"/>
    <w:sectPr>
      <w:pgSz w:w="11907" w:h="16839" w:code="9"/>
      <w:pgMar w:top="1440" w:right="1440" w:bottom="1440" w:left="1440"/>
    </w:sectPr>
  </w:body>
</w:document>
</file>

<file path=word/numbering.xml><?xml version="1.0" encoding="utf-8"?>
<w:numbering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decimal"/>
      <w:lvlText w:val="%1."/>
      <w:lvlJc w:val="left"/>
      <w:pPr>
        <w:ind w:left="960" w:hanging="360"/>
      </w:pPr>
    </w:lvl>
  </w:abstractNum>
  <w:abstractNum w:abstractNumId="11">
    <w:multiLevelType w:val="multilevel"/>
    <w:lvl w:ilvl="0">
      <w:start w:val="1"/>
      <w:numFmt w:val="decimal"/>
      <w:lvlText w:val="%1."/>
      <w:lvlJc w:val="left"/>
      <w:pPr>
        <w:ind w:left="960" w:hanging="360"/>
      </w:pPr>
    </w:lvl>
  </w:abstractNum>
  <w:abstractNum w:abstractNumId="12">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media/document_image_rId10.png" Type="http://schemas.openxmlformats.org/officeDocument/2006/relationships/image"/><Relationship Id="rId11" Target="media/document_image_rId11.png" Type="http://schemas.openxmlformats.org/officeDocument/2006/relationships/image"/><Relationship Id="rId12" Target="media/document_image_rId12.png" Type="http://schemas.openxmlformats.org/officeDocument/2006/relationships/image"/><Relationship Id="rId13" Target="media/document_image_rId13.png" Type="http://schemas.openxmlformats.org/officeDocument/2006/relationships/image"/><Relationship Id="rId14" Target="media/document_image_rId14.png" Type="http://schemas.openxmlformats.org/officeDocument/2006/relationships/image"/><Relationship Id="rId15" Target="media/document_image_rId15.png" Type="http://schemas.openxmlformats.org/officeDocument/2006/relationships/image"/><Relationship Id="rId16" Target="media/document_image_rId16.png" Type="http://schemas.openxmlformats.org/officeDocument/2006/relationships/image"/><Relationship Id="rId17" Target="media/document_image_rId17.png" Type="http://schemas.openxmlformats.org/officeDocument/2006/relationships/image"/><Relationship Id="rId18" Target="media/document_image_rId18.png" Type="http://schemas.openxmlformats.org/officeDocument/2006/relationships/image"/><Relationship Id="rId19" Target="media/document_image_rId19.png" Type="http://schemas.openxmlformats.org/officeDocument/2006/relationships/image"/><Relationship Id="rId2" Target="settings.xml" Type="http://schemas.openxmlformats.org/officeDocument/2006/relationships/settings"/><Relationship Id="rId20" Target="media/document_image_rId20.png" Type="http://schemas.openxmlformats.org/officeDocument/2006/relationships/image"/><Relationship Id="rId21" Target="media/document_image_rId21.png" Type="http://schemas.openxmlformats.org/officeDocument/2006/relationships/image"/><Relationship Id="rId22" Target="media/document_image_rId22.png" Type="http://schemas.openxmlformats.org/officeDocument/2006/relationships/image"/><Relationship Id="rId23" Target="media/document_image_rId23.png" Type="http://schemas.openxmlformats.org/officeDocument/2006/relationships/image"/><Relationship Id="rId24" Target="media/document_image_rId24.png" Type="http://schemas.openxmlformats.org/officeDocument/2006/relationships/image"/><Relationship Id="rId25" Target="media/document_image_rId25.png" Type="http://schemas.openxmlformats.org/officeDocument/2006/relationships/image"/><Relationship Id="rId26" Target="media/document_image_rId26.png" Type="http://schemas.openxmlformats.org/officeDocument/2006/relationships/image"/><Relationship Id="rId27" Target="media/document_image_rId27.png" Type="http://schemas.openxmlformats.org/officeDocument/2006/relationships/image"/><Relationship Id="rId28" Target="media/document_image_rId28.png" Type="http://schemas.openxmlformats.org/officeDocument/2006/relationships/image"/><Relationship Id="rId3" Target="numbering.xml" Type="http://schemas.openxmlformats.org/officeDocument/2006/relationships/numbering"/><Relationship Id="rId4" Target="media/document_image_rId4.png" Type="http://schemas.openxmlformats.org/officeDocument/2006/relationships/image"/><Relationship Id="rId5" Target="media/document_image_rId5.png" Type="http://schemas.openxmlformats.org/officeDocument/2006/relationships/image"/><Relationship Id="rId6" Target="media/document_image_rId6.png" Type="http://schemas.openxmlformats.org/officeDocument/2006/relationships/image"/><Relationship Id="rId7" Target="media/document_image_rId7.png" Type="http://schemas.openxmlformats.org/officeDocument/2006/relationships/image"/><Relationship Id="rId8" Target="media/document_image_rId8.png" Type="http://schemas.openxmlformats.org/officeDocument/2006/relationships/image"/><Relationship Id="rId9" Target="media/document_image_rId9.png" Type="http://schemas.openxmlformats.org/officeDocument/2006/relationships/image"/></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