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vnd.openxmlformats-officedocument.wordprocessingml.document.main+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image/png" PartName="/word/media/document_image_rId10.png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!-- Created by docx4j 6.1.2 (Apache licensed) using REFERENCE JAXB in Oracle Java 1.8.0_131 on Linux -->
    <w:p>
      <w:pPr>
        <w:pStyle w:val="Heading1"/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</w:rPr>
        <w:t>【技术白皮书】2026存量光伏电站资产价值重塑与数字化技改技术白皮书</w:t>
      </w:r>
    </w:p>
    <w:p>
      <w:pPr>
        <w:pStyle w:val="Heading1"/>
        <w:spacing w:after="50" w:line="360" w:lineRule="auto" w:beforeLines="100"/>
        <w:ind w:left="0"/>
        <w:jc w:val="left"/>
      </w:pPr>
      <w:bookmarkStart w:name="mTMN1" w:id="0"/>
      <w:bookmarkStart w:name="QsLME" w:id="1"/>
      <w:r>
        <w:rPr>
          <w:rFonts w:eastAsia="宋体" w:ascii="宋体"/>
        </w:rPr>
        <w:drawing>
          <wp:inline distT="0" distB="0" distL="0" distR="0">
            <wp:extent cx="5842000" cy="37972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46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"/>
    </w:p>
    <w:bookmarkEnd w:id="0"/>
    <w:bookmarkStart w:name="ua3536de1" w:id="2"/>
    <w:p>
      <w:pPr>
        <w:spacing w:after="50" w:line="360" w:lineRule="auto" w:beforeLines="100"/>
        <w:ind w:left="0"/>
        <w:jc w:val="left"/>
      </w:pPr>
      <w:bookmarkStart w:name="iGldr" w:id="3"/>
      <w:r>
        <w:rPr>
          <w:rFonts w:eastAsia="宋体" w:ascii="宋体"/>
        </w:rPr>
        <w:drawing>
          <wp:inline distT="0" distB="0" distL="0" distR="0">
            <wp:extent cx="5842000" cy="36803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416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"/>
    </w:p>
    <w:bookmarkEnd w:id="2"/>
    <w:bookmarkStart w:name="udb89b97a" w:id="4"/>
    <w:p>
      <w:pPr>
        <w:spacing w:after="50" w:line="360" w:lineRule="auto" w:beforeLines="100"/>
        <w:ind w:left="0"/>
        <w:jc w:val="left"/>
      </w:pPr>
      <w:bookmarkStart w:name="u33f4b80c" w:id="5"/>
      <w:r>
        <w:rPr>
          <w:rFonts w:eastAsia="宋体" w:ascii="宋体"/>
        </w:rPr>
        <w:drawing>
          <wp:inline distT="0" distB="0" distL="0" distR="0">
            <wp:extent cx="5842000" cy="130860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0" cy="3925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"/>
    </w:p>
    <w:bookmarkEnd w:id="4"/>
    <w:bookmarkStart w:name="4b3442387fde525822c8c9d866ca725e" w:id="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8"/>
        </w:rPr>
        <w:t>站在2026年的行业制高点审视，中国光伏产业已全面跨越了单纯追求新增装机的“规模扩张期”，进入了以“</w:t>
      </w:r>
      <w:r>
        <w:rPr>
          <w:rFonts w:ascii="宋体" w:hAnsi="Times New Roman" w:eastAsia="宋体"/>
          <w:b/>
          <w:i w:val="false"/>
          <w:color w:val="5c8d07"/>
          <w:sz w:val="28"/>
        </w:rPr>
        <w:t>存量资产质量提升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>”为核心的价值精耕期。随着2024-2025年《大规模设备更新方案》及相关能源行业标准的落地，存量资产的运营效率已成为衡量能源资产证券化（REITs）评价的核心维度。</w:t>
      </w:r>
    </w:p>
    <w:bookmarkEnd w:id="6"/>
    <w:bookmarkStart w:name="u2643e6e5" w:id="7"/>
    <w:p>
      <w:pPr>
        <w:spacing w:after="50" w:line="360" w:lineRule="auto" w:beforeLines="100"/>
        <w:ind w:left="0"/>
        <w:jc w:val="left"/>
      </w:pPr>
      <w:bookmarkStart w:name="J7Eh0" w:id="8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8"/>
    </w:p>
    <w:bookmarkEnd w:id="7"/>
    <w:bookmarkStart w:name="70a8805f8c81c26680e9aa46c74accf2" w:id="9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8"/>
        </w:rPr>
        <w:t>然而，早期建设的“老旧电站”（运行10年以上）正面临严峻的资产减值风险。受限于当年的组件转换效率（P型多晶/单晶，效率普遍低于18%）及陈旧的系统拓扑，这些资产普遍存在PR值（系统效率）持续走低、低功率组件老化、系统性故障频发等痛点，导致其度电成本（LCOE）在当前电力市场竞争中居高不下。</w:t>
      </w:r>
    </w:p>
    <w:bookmarkEnd w:id="9"/>
    <w:bookmarkStart w:name="u7beb1817" w:id="10"/>
    <w:p>
      <w:pPr>
        <w:spacing w:after="50" w:line="360" w:lineRule="auto" w:beforeLines="100"/>
        <w:ind w:left="0"/>
        <w:jc w:val="left"/>
      </w:pPr>
      <w:bookmarkStart w:name="u06ffbe90" w:id="11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1"/>
    </w:p>
    <w:bookmarkEnd w:id="10"/>
    <w:bookmarkStart w:name="d3959ed1802860642bad0e0c3a5ba66f" w:id="1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“以大代小”的资源利用逻辑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>已成为重塑资产收益的核心路径。根据《中国存量光伏电站技术改造研究报告》，利用高效N型（TOPCon/HJT）组件替换旧有组件，可在不增加土地占用的前提下实现装机密度翻倍。这种“原地升级”策略不仅激活了稀缺的并网容量，更通过优化容配比（最高可达1.8:1），利用原有珍贵的土地资源创造了更高的资产溢价。</w:t>
      </w:r>
    </w:p>
    <w:bookmarkEnd w:id="12"/>
    <w:bookmarkStart w:name="ud2c01e7c" w:id="13"/>
    <w:p>
      <w:pPr>
        <w:spacing w:after="50" w:line="360" w:lineRule="auto" w:beforeLines="100"/>
        <w:ind w:left="0"/>
        <w:jc w:val="left"/>
      </w:pPr>
      <w:bookmarkStart w:name="qsqQ5" w:id="14"/>
      <w:r>
        <w:rPr>
          <w:rFonts w:eastAsia="宋体" w:ascii="宋体"/>
        </w:rPr>
        <w:drawing>
          <wp:inline distT="0" distB="0" distL="0" distR="0">
            <wp:extent cx="5841999" cy="137280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7559867" cy="4126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4"/>
    </w:p>
    <w:bookmarkEnd w:id="13"/>
    <w:bookmarkStart w:name="58d3694df2483109de8de5738e43487c" w:id="1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8"/>
        </w:rPr>
        <w:t>在资本市场日益严苛的审计环境下，传统运维模式中的三个“黑洞”正成为资产利润的隐形杀手：</w:t>
      </w:r>
    </w:p>
    <w:bookmarkEnd w:id="15"/>
    <w:bookmarkStart w:name="dd91bc4175ed80b441b577379ea191c2" w:id="16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黑洞一：糊涂账——“消失的5%利润”</w:t>
      </w:r>
      <w:r>
        <w:rPr>
          <w:rFonts w:ascii="宋体" w:hAnsi="Times New Roman" w:eastAsia="宋体"/>
          <w:b/>
          <w:i w:val="false"/>
          <w:color w:val="000000"/>
          <w:sz w:val="28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电站普遍存在“逆变器显示1000kWh，关口表结算仅950kWh”的异象。这消失的5%电量往往被笼统归结为线损，实则掩盖了计量故障、偷漏电或系统性匹配失调。在现行审计标准下，缺乏数据支撑的收益流失即是严重的信托责任缺失。</w:t>
      </w:r>
    </w:p>
    <w:bookmarkEnd w:id="16"/>
    <w:bookmarkStart w:name="9bf0bb13adc465f22487ada2e84dcd02" w:id="17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黑洞二：效率低——“保姆式运维”的末路。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传统运维依赖“苦力搬运”和人工抄表，据统计，人工巡检相关支出占OPEX的90%以上。在这种低效模式下，运维人员疲于奔命却依然“看不见”真相，导致资产长期处于亚健康状态。</w:t>
      </w:r>
    </w:p>
    <w:bookmarkEnd w:id="17"/>
    <w:bookmarkStart w:name="d7faa9ee3afb1b498bac37d68dce8122" w:id="18"/>
    <w:p>
      <w:pPr>
        <w:numPr>
          <w:ilvl w:val="0"/>
          <w:numId w:val="1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黑洞三：器材杂——“数据孤岛”导致的管理盲区。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早期电站由“万国牌”设备拼凑而成，协议不通、数据断裂，管理者在决策时犹如“盲人摸象”。</w:t>
      </w:r>
    </w:p>
    <w:bookmarkEnd w:id="18"/>
    <w:bookmarkStart w:name="u0f3518ff" w:id="19"/>
    <w:p>
      <w:pPr>
        <w:spacing w:after="50" w:line="360" w:lineRule="auto" w:beforeLines="100"/>
        <w:ind w:left="0"/>
        <w:jc w:val="left"/>
      </w:pPr>
      <w:bookmarkStart w:name="u83a2dda9" w:id="20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bookmarkEnd w:id="19"/>
    <w:bookmarkStart w:name="u1d499065" w:id="21"/>
    <w:p>
      <w:pPr>
        <w:spacing w:after="50" w:line="360" w:lineRule="auto" w:beforeLines="100"/>
        <w:ind w:left="0"/>
        <w:jc w:val="left"/>
      </w:pPr>
      <w:bookmarkStart w:name="LrZ92" w:id="22"/>
      <w:r>
        <w:rPr>
          <w:rFonts w:eastAsia="宋体" w:ascii="宋体"/>
        </w:rPr>
        <w:drawing>
          <wp:inline distT="0" distB="0" distL="0" distR="0">
            <wp:extent cx="5842000" cy="134366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0" cy="4030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2"/>
    </w:p>
    <w:bookmarkEnd w:id="21"/>
    <w:bookmarkStart w:name="ue44fe655" w:id="23"/>
    <w:p>
      <w:pPr>
        <w:spacing w:after="50" w:line="360" w:lineRule="auto" w:beforeLines="100"/>
        <w:ind w:left="0"/>
        <w:jc w:val="left"/>
      </w:pPr>
      <w:bookmarkStart w:name="u9168105e" w:id="24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4"/>
    </w:p>
    <w:bookmarkEnd w:id="23"/>
    <w:bookmarkStart w:name="17c7e0627eb9a7b5ba053a0270089293" w:id="25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8"/>
        </w:rPr>
        <w:t>轨物科技（Thingcom）基于数字化第一性原理，提出“</w:t>
      </w:r>
      <w:r>
        <w:rPr>
          <w:rFonts w:ascii="宋体" w:hAnsi="Times New Roman" w:eastAsia="宋体"/>
          <w:b/>
          <w:i w:val="false"/>
          <w:color w:val="5c8d07"/>
          <w:sz w:val="28"/>
        </w:rPr>
        <w:t>诊断—目标—方案组合—实施验证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>”的全闭环价值重塑模型，将资产管理从“经验主义”推向“审计式管理”。</w:t>
      </w:r>
    </w:p>
    <w:bookmarkEnd w:id="25"/>
    <w:bookmarkStart w:name="a5580cdb949da810e59be298c5209a9c" w:id="26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诊断（Diagnosis）：精准透视</w:t>
      </w:r>
      <w:r>
        <w:rPr>
          <w:rFonts w:ascii="宋体" w:hAnsi="Times New Roman" w:eastAsia="宋体"/>
          <w:b/>
          <w:i w:val="false"/>
          <w:color w:val="000000"/>
          <w:sz w:val="28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依托昇腾AI/MindSpore AI框架，利用搭载U-Net（图像分割）与YOLOV5（目标检测）模型的无人机红外巡检系统，对全站实施毫米级扫描。系统能自动识别热斑、二极管短路、组件开路及异物遮挡，精准输出带GPS坐标的病理报告，彻底解决老旧电站底数不清的问题。</w:t>
      </w:r>
    </w:p>
    <w:bookmarkEnd w:id="26"/>
    <w:bookmarkStart w:name="1827ddcd1bef0c02fc81dc9ee23bb6ed" w:id="27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目标（Goal）：量化增值</w:t>
      </w:r>
      <w:r>
        <w:rPr>
          <w:rFonts w:ascii="宋体" w:hAnsi="Times New Roman" w:eastAsia="宋体"/>
          <w:b/>
          <w:i w:val="false"/>
          <w:color w:val="000000"/>
          <w:sz w:val="28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设定严苛的KPI：通过技改找回“消失的5%利润”，实现“资产规模扩大一倍，运维人员零增加”。</w:t>
      </w:r>
    </w:p>
    <w:bookmarkEnd w:id="27"/>
    <w:bookmarkStart w:name="a6206bf168e8f2639729a1d4e41821d0" w:id="28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方案组合（Solution Portfolio）：非侵入式升级</w:t>
      </w:r>
      <w:r>
        <w:rPr>
          <w:rFonts w:ascii="宋体" w:hAnsi="Times New Roman" w:eastAsia="宋体"/>
          <w:b/>
          <w:i w:val="false"/>
          <w:color w:val="000000"/>
          <w:sz w:val="28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遵循《光伏发电系统能效规范》（NB/T 10394-2020），采用数字化插件替换大动干戈的结构重建。</w:t>
      </w:r>
    </w:p>
    <w:bookmarkEnd w:id="28"/>
    <w:bookmarkStart w:name="970a78210534f715b758beea22ca34a1" w:id="29"/>
    <w:p>
      <w:pPr>
        <w:numPr>
          <w:ilvl w:val="0"/>
          <w:numId w:val="2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实施验证（Verification）：管理闭环</w:t>
      </w:r>
      <w:r>
        <w:rPr>
          <w:rFonts w:ascii="宋体" w:hAnsi="Times New Roman" w:eastAsia="宋体"/>
          <w:b/>
          <w:i w:val="false"/>
          <w:color w:val="000000"/>
          <w:sz w:val="28"/>
        </w:rPr>
        <w:t>。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通过全站离散率分析与自动审计报表，实现“一眼看穿账对不对”。系统自动对比逆变器数据与红外表数据，确保每一度电的流向均可追溯。</w:t>
      </w:r>
    </w:p>
    <w:bookmarkEnd w:id="29"/>
    <w:bookmarkStart w:name="JjgTb" w:id="30"/>
    <w:p>
      <w:pPr>
        <w:pStyle w:val="Heading3"/>
        <w:spacing w:after="50" w:line="360" w:lineRule="auto" w:beforeLines="100"/>
        <w:ind w:left="0"/>
        <w:jc w:val="left"/>
      </w:pPr>
      <w:bookmarkStart w:name="SXvfe" w:id="31"/>
      <w:r>
        <w:rPr>
          <w:rFonts w:eastAsia="宋体" w:ascii="宋体"/>
        </w:rPr>
        <w:drawing>
          <wp:inline distT="0" distB="0" distL="0" distR="0">
            <wp:extent cx="5842000" cy="130854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0" cy="393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1"/>
    </w:p>
    <w:bookmarkEnd w:id="30"/>
    <w:bookmarkStart w:name="ffdea63baddeaeeb7390c8a715b22f6c" w:id="32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8"/>
        </w:rPr>
        <w:t>相对于传统技改如同“截肢”般的停电、剪线、高成本改造，轨物科技倡导“微创手术”级的数字化升级。</w:t>
      </w:r>
    </w:p>
    <w:bookmarkEnd w:id="32"/>
    <w:bookmarkStart w:name="f31bc5a31481d8b1a13e99d8c7bd4095" w:id="33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传统改造 vs. 轨物“微创”数字化技改方案对比表</w:t>
      </w:r>
    </w:p>
    <w:bookmarkEnd w:id="33"/>
    <w:bookmarkStart w:name="u25bd745a" w:id="34"/>
    <w:p>
      <w:pPr>
        <w:spacing w:after="50" w:line="360" w:lineRule="auto" w:beforeLines="100"/>
        <w:ind w:left="0"/>
        <w:jc w:val="left"/>
      </w:pPr>
      <w:bookmarkStart w:name="u05326c7b" w:id="35"/>
      <w:r>
        <w:rPr>
          <w:rFonts w:eastAsia="宋体" w:ascii="宋体"/>
        </w:rPr>
        <w:drawing>
          <wp:inline distT="0" distB="0" distL="0" distR="0">
            <wp:extent cx="5723466" cy="2901561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3466" cy="2901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5"/>
    </w:p>
    <w:bookmarkEnd w:id="34"/>
    <w:bookmarkStart w:name="737867f82554df471896a297d1aa385c" w:id="36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核心数字化神器：</w:t>
      </w:r>
    </w:p>
    <w:bookmarkEnd w:id="36"/>
    <w:bookmarkStart w:name="319081affdead78ee553e1f8ef9c2e55" w:id="37"/>
    <w:p>
      <w:pPr>
        <w:numPr>
          <w:ilvl w:val="0"/>
          <w:numId w:val="3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红外抄表器：</w:t>
      </w:r>
      <w:r>
        <w:rPr>
          <w:rFonts w:ascii="宋体" w:hAnsi="Times New Roman" w:eastAsia="宋体"/>
          <w:b w:val="false"/>
          <w:i w:val="false"/>
          <w:color w:val="5c8d07"/>
          <w:sz w:val="28"/>
        </w:rPr>
        <w:t xml:space="preserve"> </w:t>
      </w:r>
      <w:r>
        <w:rPr>
          <w:rFonts w:ascii="宋体" w:hAnsi="Times New Roman" w:eastAsia="宋体"/>
          <w:b/>
          <w:i w:val="false"/>
          <w:color w:val="5c8d07"/>
          <w:sz w:val="28"/>
          <w:u w:val="single"/>
        </w:rPr>
        <w:t>3分钟内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>完成安装，采用非接触式红外传感，让老旧“哑巴表”瞬间具备实时联网与审计能力。</w:t>
      </w:r>
    </w:p>
    <w:bookmarkEnd w:id="37"/>
    <w:bookmarkStart w:name="u59d80611" w:id="38"/>
    <w:p>
      <w:pPr>
        <w:spacing w:after="50" w:line="360" w:lineRule="auto" w:beforeLines="100"/>
        <w:ind w:left="0"/>
        <w:jc w:val="left"/>
      </w:pPr>
      <w:bookmarkStart w:name="ud47cc4b2" w:id="39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39"/>
    </w:p>
    <w:bookmarkEnd w:id="38"/>
    <w:bookmarkStart w:name="41b829258f59e6cd3bd67278aad5598c" w:id="40"/>
    <w:p>
      <w:pPr>
        <w:numPr>
          <w:ilvl w:val="0"/>
          <w:numId w:val="4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万能数据棒：</w:t>
      </w:r>
      <w:r>
        <w:rPr>
          <w:rFonts w:ascii="宋体" w:hAnsi="Times New Roman" w:eastAsia="宋体"/>
          <w:b w:val="false"/>
          <w:i w:val="false"/>
          <w:color w:val="5c8d07"/>
          <w:sz w:val="28"/>
        </w:rPr>
        <w:t xml:space="preserve"> 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>适配市面上95%以上的主流逆变器，即插即通，瞬间打破协议屏障，实现集中式与组串式设备的数据融合。</w:t>
      </w:r>
    </w:p>
    <w:bookmarkEnd w:id="40"/>
    <w:bookmarkStart w:name="uff1db77c" w:id="41"/>
    <w:p>
      <w:pPr>
        <w:spacing w:after="50" w:line="360" w:lineRule="auto" w:beforeLines="100"/>
        <w:ind w:left="0"/>
        <w:jc w:val="left"/>
      </w:pPr>
      <w:bookmarkStart w:name="uabbcb57f" w:id="42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2"/>
    </w:p>
    <w:bookmarkEnd w:id="41"/>
    <w:bookmarkStart w:name="2c056d8e1f59ba54da0cb822b4a69d8d" w:id="43"/>
    <w:p>
      <w:pPr>
        <w:numPr>
          <w:ilvl w:val="0"/>
          <w:numId w:val="5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边缘网关：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作为配电柜里的“黑匣子”，它不仅是数据的汇聚中心，更是边缘计算的核心，实时监控1500V及1000V系统的电气合规性。</w:t>
      </w:r>
    </w:p>
    <w:bookmarkEnd w:id="43"/>
    <w:bookmarkStart w:name="u13b9cbc2" w:id="44"/>
    <w:p>
      <w:pPr>
        <w:spacing w:after="50" w:line="360" w:lineRule="auto" w:beforeLines="100"/>
        <w:ind w:left="0"/>
        <w:jc w:val="left"/>
      </w:pPr>
      <w:bookmarkStart w:name="J5fJ6" w:id="45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5"/>
    </w:p>
    <w:bookmarkEnd w:id="44"/>
    <w:bookmarkStart w:name="u6f8af930" w:id="46"/>
    <w:p>
      <w:pPr>
        <w:spacing w:after="50" w:line="360" w:lineRule="auto" w:beforeLines="100"/>
        <w:ind w:left="0"/>
        <w:jc w:val="left"/>
      </w:pPr>
      <w:bookmarkStart w:name="zeOj8" w:id="47"/>
      <w:r>
        <w:rPr>
          <w:rFonts w:eastAsia="宋体" w:ascii="宋体"/>
        </w:rPr>
        <w:drawing>
          <wp:inline distT="0" distB="0" distL="0" distR="0">
            <wp:extent cx="5842000" cy="130854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0" cy="393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47"/>
    </w:p>
    <w:bookmarkEnd w:id="46"/>
    <w:bookmarkStart w:name="d585484fe11179731948a1ba513c6954" w:id="4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8"/>
        </w:rPr>
        <w:t>数字化技改的本质是管理权力的重构。</w:t>
      </w:r>
    </w:p>
    <w:bookmarkEnd w:id="48"/>
    <w:bookmarkStart w:name="ab8fde5569a9d015f45a4e5a82a7cba1" w:id="49"/>
    <w:p>
      <w:pPr>
        <w:numPr>
          <w:ilvl w:val="0"/>
          <w:numId w:val="6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精准派单，告别盲目巡检：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通过全站离散率分析模型，系统能“一眼揪出低效组串”，实现“哪里有坏点，去哪里”。这不仅大幅降低了劳动强度，更使LCOE中的OPEX部分下降约20%-30%。</w:t>
      </w:r>
    </w:p>
    <w:bookmarkEnd w:id="49"/>
    <w:bookmarkStart w:name="u4c4b2d8a" w:id="50"/>
    <w:p>
      <w:pPr>
        <w:spacing w:after="50" w:line="360" w:lineRule="auto" w:beforeLines="100"/>
        <w:ind w:left="0"/>
        <w:jc w:val="left"/>
      </w:pPr>
      <w:bookmarkStart w:name="u18b44cc6" w:id="51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1"/>
    </w:p>
    <w:bookmarkEnd w:id="50"/>
    <w:bookmarkStart w:name="c7ec75d1437b995c07ab267016edbebb" w:id="52"/>
    <w:p>
      <w:pPr>
        <w:numPr>
          <w:ilvl w:val="0"/>
          <w:numId w:val="7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自动审计，追回流失收益：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系统自动关联“逆变器数据”与“红外抄表数据”，实时监测偷漏电及计量故障。这种“审计式管理”让隐藏在5%电量差额中的利润无处遁形。</w:t>
      </w:r>
    </w:p>
    <w:bookmarkEnd w:id="52"/>
    <w:bookmarkStart w:name="u1fd3a6a7" w:id="53"/>
    <w:p>
      <w:pPr>
        <w:spacing w:after="50" w:line="360" w:lineRule="auto" w:beforeLines="100"/>
        <w:ind w:left="0"/>
        <w:jc w:val="left"/>
      </w:pPr>
      <w:bookmarkStart w:name="ub581b1c8" w:id="54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4"/>
    </w:p>
    <w:bookmarkEnd w:id="53"/>
    <w:bookmarkStart w:name="1e3df2dd92fec4c5a66070b73b4b190b" w:id="55"/>
    <w:p>
      <w:pPr>
        <w:numPr>
          <w:ilvl w:val="0"/>
          <w:numId w:val="8"/>
        </w:numPr>
        <w:spacing w:after="50" w:line="360" w:lineRule="auto" w:beforeLines="100"/>
        <w:ind w:left="360"/>
        <w:jc w:val="left"/>
      </w:pPr>
      <w:r>
        <w:rPr>
          <w:rFonts w:ascii="宋体" w:hAnsi="Times New Roman" w:eastAsia="宋体"/>
          <w:b/>
          <w:i w:val="false"/>
          <w:color w:val="5c8d07"/>
          <w:sz w:val="28"/>
        </w:rPr>
        <w:t>数字化证据：您的“免责金牌”：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 xml:space="preserve"> 在法律与保险定责日益严格的2026年，轨物科技提供完整的数字化法律证据链。例如，系统记录的过温报警日志显示：10:00:01发现异常、10:00:05自动分单、10:30:00处理完毕。这种全过程数据留痕，为管理者规避安全责任提供了确凿的数字证据。</w:t>
      </w:r>
    </w:p>
    <w:bookmarkEnd w:id="55"/>
    <w:bookmarkStart w:name="uc7bdcab3" w:id="56"/>
    <w:p>
      <w:pPr>
        <w:spacing w:after="50" w:line="360" w:lineRule="auto" w:beforeLines="100"/>
        <w:ind w:left="0"/>
        <w:jc w:val="left"/>
      </w:pPr>
      <w:bookmarkStart w:name="bqzrq" w:id="57"/>
      <w:r>
        <w:rPr>
          <w:rFonts w:eastAsia="宋体" w:ascii="宋体"/>
        </w:rPr>
        <w:drawing>
          <wp:inline distT="0" distB="0" distL="0" distR="0">
            <wp:extent cx="5842000" cy="130854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7576800" cy="39370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57"/>
    </w:p>
    <w:bookmarkEnd w:id="56"/>
    <w:bookmarkStart w:name="db233de02aae36abecc71a82d5fa2847" w:id="58"/>
    <w:p>
      <w:pPr>
        <w:spacing w:after="50" w:line="360" w:lineRule="auto" w:beforeLines="100"/>
        <w:ind w:left="0"/>
        <w:jc w:val="left"/>
      </w:pPr>
      <w:r>
        <w:rPr>
          <w:rFonts w:ascii="宋体" w:hAnsi="Times New Roman" w:eastAsia="宋体"/>
          <w:b w:val="false"/>
          <w:i w:val="false"/>
          <w:color w:val="000000"/>
          <w:sz w:val="28"/>
        </w:rPr>
        <w:t>数字化技改不是资产持有者的可选项，而是应对2026年电力竞价体系、资产减值压力及信托审计要求的唯一战略出路。通过“</w:t>
      </w:r>
      <w:r>
        <w:rPr>
          <w:rFonts w:ascii="宋体" w:hAnsi="Times New Roman" w:eastAsia="宋体"/>
          <w:b/>
          <w:i w:val="false"/>
          <w:color w:val="5c8d07"/>
          <w:sz w:val="28"/>
        </w:rPr>
        <w:t>微创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>”级的数字化技术赋能，我们将原本低效的老旧电站，重塑为具备高度资产透明度与抗风险能力的“</w:t>
      </w:r>
      <w:r>
        <w:rPr>
          <w:rFonts w:ascii="宋体" w:hAnsi="Times New Roman" w:eastAsia="宋体"/>
          <w:b/>
          <w:i w:val="false"/>
          <w:color w:val="5c8d07"/>
          <w:sz w:val="28"/>
        </w:rPr>
        <w:t>高品质能源基座</w:t>
      </w:r>
      <w:r>
        <w:rPr>
          <w:rFonts w:ascii="宋体" w:hAnsi="Times New Roman" w:eastAsia="宋体"/>
          <w:b w:val="false"/>
          <w:i w:val="false"/>
          <w:color w:val="000000"/>
          <w:sz w:val="28"/>
        </w:rPr>
        <w:t>”。</w:t>
      </w:r>
    </w:p>
    <w:bookmarkEnd w:id="58"/>
    <w:bookmarkStart w:name="u28c7da61" w:id="59"/>
    <w:p>
      <w:pPr>
        <w:spacing w:after="50" w:line="360" w:lineRule="auto" w:beforeLines="100"/>
        <w:ind w:left="0"/>
        <w:jc w:val="left"/>
      </w:pPr>
      <w:bookmarkStart w:name="u804ed745" w:id="60"/>
      <w:r>
        <w:rPr>
          <w:rFonts w:eastAsia="宋体" w:ascii="宋体"/>
        </w:rPr>
        <w:drawing>
          <wp:inline distT="0" distB="0" distL="0" distR="0">
            <wp:extent cx="5841999" cy="325983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150000" cy="31889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0"/>
    </w:p>
    <w:bookmarkEnd w:id="59"/>
    <w:bookmarkStart w:name="b13f92b7223bdc8f368d052bd201328f" w:id="61"/>
    <w:p>
      <w:pPr>
        <w:spacing w:after="50" w:line="360" w:lineRule="auto" w:beforeLines="100"/>
        <w:ind w:left="0"/>
        <w:jc w:val="left"/>
      </w:pPr>
      <w:bookmarkStart w:name="sG7v2" w:id="62"/>
      <w:r>
        <w:rPr>
          <w:rFonts w:eastAsia="宋体" w:ascii="宋体"/>
        </w:rPr>
        <w:drawing>
          <wp:inline distT="0" distB="0" distL="0" distR="0">
            <wp:extent cx="5842000" cy="162407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927337" cy="26667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2"/>
    </w:p>
    <w:bookmarkEnd w:id="61"/>
    <w:bookmarkStart w:name="u31a12f69" w:id="63"/>
    <w:p>
      <w:pPr>
        <w:spacing w:after="50" w:line="360" w:lineRule="auto" w:beforeLines="100"/>
        <w:ind w:left="0"/>
        <w:jc w:val="left"/>
      </w:pPr>
      <w:bookmarkStart w:name="PdfG4" w:id="64"/>
      <w:r>
        <w:rPr>
          <w:rFonts w:eastAsia="宋体" w:ascii="宋体"/>
        </w:rPr>
        <w:drawing>
          <wp:inline distT="0" distB="0" distL="0" distR="0">
            <wp:extent cx="5841999" cy="3294872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4207067" cy="8012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4"/>
    </w:p>
    <w:bookmarkEnd w:id="63"/>
    <w:bookmarkStart w:name="ue1c7c5b5" w:id="65"/>
    <w:p>
      <w:pPr>
        <w:spacing w:after="50" w:line="360" w:lineRule="auto" w:beforeLines="100"/>
        <w:ind w:left="0"/>
        <w:jc w:val="left"/>
      </w:pPr>
      <w:bookmarkStart w:name="kCKM3" w:id="66"/>
      <w:r>
        <w:rPr>
          <w:rFonts w:eastAsia="宋体" w:ascii="宋体"/>
        </w:rPr>
        <w:drawing>
          <wp:inline distT="0" distB="0" distL="0" distR="0">
            <wp:extent cx="5842000" cy="4726076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8694400" cy="15123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6"/>
    </w:p>
    <w:bookmarkEnd w:id="65"/>
    <w:bookmarkStart w:name="u53381b51" w:id="67"/>
    <w:p>
      <w:pPr>
        <w:spacing w:after="50" w:line="360" w:lineRule="auto" w:beforeLines="100"/>
        <w:ind w:left="0"/>
        <w:jc w:val="left"/>
      </w:pPr>
      <w:bookmarkStart w:name="uMuPP" w:id="68"/>
      <w:r>
        <w:rPr>
          <w:rFonts w:eastAsia="宋体" w:ascii="宋体"/>
        </w:rPr>
        <w:drawing>
          <wp:inline distT="0" distB="0" distL="0" distR="0">
            <wp:extent cx="5842000" cy="4848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2487466" cy="1866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68"/>
    </w:p>
    <w:bookmarkEnd w:id="67"/>
    <w:bookmarkStart w:name="3eeb3152e45dbe3c6062cda1ab0aef25" w:id="69"/>
    <w:p>
      <w:pPr>
        <w:spacing w:after="50" w:line="360" w:lineRule="auto" w:beforeLines="100"/>
        <w:ind w:left="0"/>
        <w:jc w:val="left"/>
      </w:pPr>
      <w:bookmarkStart w:name="udeafe947" w:id="70"/>
      <w:r>
        <w:rPr>
          <w:rFonts w:eastAsia="宋体" w:ascii="宋体"/>
        </w:rPr>
        <w:drawing>
          <wp:inline distT="0" distB="0" distL="0" distR="0">
            <wp:extent cx="5841999" cy="794488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2690666" cy="308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0"/>
      <w:bookmarkStart w:name="u65bf4d75" w:id="71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1"/>
      <w:bookmarkStart w:name="u61304845" w:id="72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2"/>
      <w:bookmarkStart w:name="ub467d2b8" w:id="73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3"/>
      <w:bookmarkStart w:name="ua37cd3a7" w:id="74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4"/>
      <w:bookmarkStart w:name="udf4c013b" w:id="75"/>
      <w:r>
        <w:rPr>
          <w:rFonts w:eastAsia="宋体" w:ascii="宋体"/>
        </w:rPr>
        <w:drawing>
          <wp:inline distT="0" distB="0" distL="0" distR="0">
            <wp:extent cx="5842000" cy="1320275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63804800" cy="144197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5"/>
    </w:p>
    <w:bookmarkEnd w:id="69"/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abstractNum w:abstractNumId="3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4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5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6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7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8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宋体" w:eastAsia="宋体"/>
      <w:b/>
      <w:bCs/>
      <w:color w:val="000000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宋体" w:eastAsia="宋体"/>
      <w:b/>
      <w:bCs/>
      <w:color w:val="000000"/>
      <w:sz w:val="3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宋体" w:eastAsia="宋体"/>
      <w:b/>
      <w:bCs/>
      <w:color w:val="000000"/>
      <w:sz w:val="3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宋体" w:eastAsia="宋体"/>
      <w:b/>
      <w:bCs/>
      <w:color w:val="000000"/>
      <w:sz w:val="30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841CD9"/>
    <w:pPr>
      <w:keepNext/>
      <w:keepLines/>
      <w:spacing w:before="200"/>
      <w:outlineLvl w:val="4"/>
    </w:pPr>
    <w:rPr>
      <w:rFonts w:ascii="宋体" w:eastAsia="宋体"/>
      <w:b/>
      <w:bCs/>
      <w:color w:val="000000"/>
      <w:sz w:val="28"/>
    </w:rPr>
  </w:style>
  <w:style w:type="paragraph" w:styleId="ne-codeblock"/>
</w:style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10" Target="media/document_image_rId10.png" Type="http://schemas.openxmlformats.org/officeDocument/2006/relationships/image"/><Relationship Id="rId11" Target="media/document_image_rId11.png" Type="http://schemas.openxmlformats.org/officeDocument/2006/relationships/image"/><Relationship Id="rId12" Target="media/document_image_rId12.png" Type="http://schemas.openxmlformats.org/officeDocument/2006/relationships/image"/><Relationship Id="rId13" Target="media/document_image_rId13.png" Type="http://schemas.openxmlformats.org/officeDocument/2006/relationships/image"/><Relationship Id="rId14" Target="media/document_image_rId14.png" Type="http://schemas.openxmlformats.org/officeDocument/2006/relationships/image"/><Relationship Id="rId15" Target="media/document_image_rId15.png" Type="http://schemas.openxmlformats.org/officeDocument/2006/relationships/image"/><Relationship Id="rId16" Target="media/document_image_rId16.png" Type="http://schemas.openxmlformats.org/officeDocument/2006/relationships/image"/><Relationship Id="rId17" Target="media/document_image_rId17.png" Type="http://schemas.openxmlformats.org/officeDocument/2006/relationships/image"/><Relationship Id="rId18" Target="media/document_image_rId18.png" Type="http://schemas.openxmlformats.org/officeDocument/2006/relationships/image"/><Relationship Id="rId19" Target="media/document_image_rId19.png" Type="http://schemas.openxmlformats.org/officeDocument/2006/relationships/image"/><Relationship Id="rId2" Target="settings.xml" Type="http://schemas.openxmlformats.org/officeDocument/2006/relationships/settings"/><Relationship Id="rId20" Target="media/document_image_rId20.png" Type="http://schemas.openxmlformats.org/officeDocument/2006/relationships/image"/><Relationship Id="rId21" Target="media/document_image_rId21.png" Type="http://schemas.openxmlformats.org/officeDocument/2006/relationships/image"/><Relationship Id="rId22" Target="media/document_image_rId22.png" Type="http://schemas.openxmlformats.org/officeDocument/2006/relationships/image"/><Relationship Id="rId23" Target="media/document_image_rId23.png" Type="http://schemas.openxmlformats.org/officeDocument/2006/relationships/image"/><Relationship Id="rId24" Target="media/document_image_rId24.png" Type="http://schemas.openxmlformats.org/officeDocument/2006/relationships/image"/><Relationship Id="rId25" Target="media/document_image_rId25.png" Type="http://schemas.openxmlformats.org/officeDocument/2006/relationships/image"/><Relationship Id="rId26" Target="media/document_image_rId26.png" Type="http://schemas.openxmlformats.org/officeDocument/2006/relationships/image"/><Relationship Id="rId27" Target="media/document_image_rId27.png" Type="http://schemas.openxmlformats.org/officeDocument/2006/relationships/image"/><Relationship Id="rId28" Target="media/document_image_rId28.png" Type="http://schemas.openxmlformats.org/officeDocument/2006/relationships/image"/><Relationship Id="rId29" Target="media/document_image_rId29.png" Type="http://schemas.openxmlformats.org/officeDocument/2006/relationships/image"/><Relationship Id="rId3" Target="numbering.xml" Type="http://schemas.openxmlformats.org/officeDocument/2006/relationships/numbering"/><Relationship Id="rId30" Target="media/document_image_rId30.png" Type="http://schemas.openxmlformats.org/officeDocument/2006/relationships/image"/><Relationship Id="rId31" Target="media/document_image_rId31.png" Type="http://schemas.openxmlformats.org/officeDocument/2006/relationships/image"/><Relationship Id="rId32" Target="media/document_image_rId32.png" Type="http://schemas.openxmlformats.org/officeDocument/2006/relationships/image"/><Relationship Id="rId4" Target="media/document_image_rId4.png" Type="http://schemas.openxmlformats.org/officeDocument/2006/relationships/image"/><Relationship Id="rId5" Target="media/document_image_rId5.png" Type="http://schemas.openxmlformats.org/officeDocument/2006/relationships/image"/><Relationship Id="rId6" Target="media/document_image_rId6.png" Type="http://schemas.openxmlformats.org/officeDocument/2006/relationships/image"/><Relationship Id="rId7" Target="media/document_image_rId7.png" Type="http://schemas.openxmlformats.org/officeDocument/2006/relationships/image"/><Relationship Id="rId8" Target="media/document_image_rId8.png" Type="http://schemas.openxmlformats.org/officeDocument/2006/relationships/image"/><Relationship Id="rId9" Target="media/document_image_rId9.png" Type="http://schemas.openxmlformats.org/officeDocument/2006/relationships/image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