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image/png" PartName="/word/media/document_image_rId9.png"/>
  <Override ContentType="image/png" PartName="/word/media/document_image_rId10.png"/>
  <Override ContentType="image/png" PartName="/word/media/document_image_rId11.png"/>
  <Override ContentType="image/png" PartName="/word/media/document_image_rId12.png"/>
  <Override ContentType="image/png" PartName="/word/media/document_image_rId13.png"/>
  <Override ContentType="image/png" PartName="/word/media/document_image_rId14.png"/>
  <Override ContentType="image/png" PartName="/word/media/document_image_rId15.png"/>
  <Override ContentType="image/png" PartName="/word/media/document_image_rId16.png"/>
  <Override ContentType="image/png" PartName="/word/media/document_image_rId17.png"/>
  <Override ContentType="image/png" PartName="/word/media/document_image_rId18.png"/>
  <Override ContentType="image/png" PartName="/word/media/document_image_rId19.png"/>
  <Override ContentType="image/png" PartName="/word/media/document_image_rId20.png"/>
  <Override ContentType="image/png" PartName="/word/media/document_image_rId21.png"/>
  <Override ContentType="image/png" PartName="/word/media/document_image_rId22.png"/>
  <Override ContentType="image/png" PartName="/word/media/document_image_rId23.png"/>
  <Override ContentType="image/png" PartName="/word/media/document_image_rId24.png"/>
  <Override ContentType="image/png" PartName="/word/media/document_image_rId2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【技术白皮书】智能电力运维新范式：开关柜数字化升级与“一键顺控”技术解决方案白皮书</w:t>
      </w:r>
    </w:p>
    <w:p>
      <w:pPr>
        <w:pStyle w:val="Heading1"/>
        <w:spacing w:after="50" w:line="360" w:lineRule="auto" w:beforeLines="100"/>
        <w:ind w:left="0"/>
        <w:jc w:val="left"/>
      </w:pPr>
      <w:bookmarkStart w:name="QPZ0C" w:id="0"/>
      <w:bookmarkStart w:name="QsLME" w:id="1"/>
      <w:r>
        <w:rPr>
          <w:rFonts w:eastAsia="宋体" w:ascii="宋体"/>
        </w:rPr>
        <w:drawing>
          <wp:inline distT="0" distB="0" distL="0" distR="0">
            <wp:extent cx="5842000" cy="37972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487466" cy="1461655"/>
                    </a:xfrm>
                    <a:prstGeom prst="rect">
                      <a:avLst/>
                    </a:prstGeom>
                  </pic:spPr>
                </pic:pic>
              </a:graphicData>
            </a:graphic>
          </wp:inline>
        </w:drawing>
      </w:r>
      <w:bookmarkEnd w:id="1"/>
    </w:p>
    <w:bookmarkEnd w:id="0"/>
    <w:bookmarkStart w:name="ua3536de1" w:id="2"/>
    <w:p>
      <w:pPr>
        <w:spacing w:after="50" w:line="360" w:lineRule="auto" w:beforeLines="100"/>
        <w:ind w:left="0"/>
        <w:jc w:val="left"/>
      </w:pPr>
      <w:bookmarkStart w:name="u00ccb700" w:id="3"/>
      <w:r>
        <w:rPr>
          <w:rFonts w:eastAsia="宋体" w:ascii="宋体"/>
        </w:rPr>
        <w:drawing>
          <wp:inline distT="0" distB="0" distL="0" distR="0">
            <wp:extent cx="5841999" cy="769380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490267" cy="25668330"/>
                    </a:xfrm>
                    <a:prstGeom prst="rect">
                      <a:avLst/>
                    </a:prstGeom>
                  </pic:spPr>
                </pic:pic>
              </a:graphicData>
            </a:graphic>
          </wp:inline>
        </w:drawing>
      </w:r>
      <w:bookmarkEnd w:id="3"/>
    </w:p>
    <w:bookmarkEnd w:id="2"/>
    <w:bookmarkStart w:name="wcDVQ" w:id="4"/>
    <w:p>
      <w:pPr>
        <w:pStyle w:val="Heading2"/>
        <w:spacing w:after="50" w:line="360" w:lineRule="auto" w:beforeLines="100"/>
        <w:ind w:left="0"/>
        <w:jc w:val="left"/>
      </w:pPr>
      <w:bookmarkStart w:name="u4404f3cb" w:id="5"/>
      <w:r>
        <w:rPr>
          <w:rFonts w:eastAsia="宋体" w:ascii="宋体"/>
        </w:rPr>
        <w:drawing>
          <wp:inline distT="0" distB="0" distL="0" distR="0">
            <wp:extent cx="5842000" cy="130860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526000" cy="3925824"/>
                    </a:xfrm>
                    <a:prstGeom prst="rect">
                      <a:avLst/>
                    </a:prstGeom>
                  </pic:spPr>
                </pic:pic>
              </a:graphicData>
            </a:graphic>
          </wp:inline>
        </w:drawing>
      </w:r>
      <w:bookmarkEnd w:id="5"/>
    </w:p>
    <w:bookmarkEnd w:id="4"/>
    <w:bookmarkStart w:name="5f87a00148b86a9ea328019fb3dcb377" w:id="6"/>
    <w:p>
      <w:pPr>
        <w:spacing w:after="50" w:line="360" w:lineRule="auto" w:beforeLines="100"/>
        <w:ind w:left="0"/>
        <w:jc w:val="left"/>
      </w:pPr>
      <w:r>
        <w:rPr>
          <w:rFonts w:ascii="宋体" w:hAnsi="Times New Roman" w:eastAsia="宋体"/>
          <w:b w:val="false"/>
          <w:i w:val="false"/>
          <w:color w:val="000000"/>
          <w:sz w:val="22"/>
        </w:rPr>
        <w:t>在全球能源互联网与智慧电网深度融合的宏观语境下，电力系统正经历着从“人工驱动”向“数据驱动”的范式转移。随着电网架构复杂度的指数级增长，“</w:t>
      </w:r>
      <w:r>
        <w:rPr>
          <w:rFonts w:ascii="宋体" w:hAnsi="Times New Roman" w:eastAsia="宋体"/>
          <w:b/>
          <w:i w:val="false"/>
          <w:color w:val="004347"/>
          <w:sz w:val="22"/>
        </w:rPr>
        <w:t>无人值守、少人值守</w:t>
      </w:r>
      <w:r>
        <w:rPr>
          <w:rFonts w:ascii="宋体" w:hAnsi="Times New Roman" w:eastAsia="宋体"/>
          <w:b w:val="false"/>
          <w:i w:val="false"/>
          <w:color w:val="000000"/>
          <w:sz w:val="22"/>
        </w:rPr>
        <w:t>”已成为行业演进的核心战略方向。在这一进程中，开关柜不再仅仅是单纯的“电力通路”，而是被重新定义为电网边缘端的“核心算力节点”</w:t>
      </w:r>
      <w:r>
        <w:rPr>
          <w:rFonts w:ascii="宋体" w:hAnsi="Times New Roman" w:eastAsia="宋体"/>
          <w:b/>
          <w:i w:val="false"/>
          <w:color w:val="000000"/>
          <w:sz w:val="22"/>
        </w:rPr>
        <w:t>与</w:t>
      </w:r>
      <w:r>
        <w:rPr>
          <w:rFonts w:ascii="宋体" w:hAnsi="Times New Roman" w:eastAsia="宋体"/>
          <w:b w:val="false"/>
          <w:i w:val="false"/>
          <w:color w:val="000000"/>
          <w:sz w:val="22"/>
        </w:rPr>
        <w:t>“数据驱动的自治单元”。</w:t>
      </w:r>
    </w:p>
    <w:bookmarkEnd w:id="6"/>
    <w:bookmarkStart w:name="1e6cf91cf36c92735f412f99aad1319f" w:id="7"/>
    <w:p>
      <w:pPr>
        <w:spacing w:after="50" w:line="360" w:lineRule="auto" w:beforeLines="100"/>
        <w:ind w:left="0"/>
        <w:jc w:val="left"/>
      </w:pPr>
      <w:r>
        <w:rPr>
          <w:rFonts w:ascii="宋体" w:hAnsi="Times New Roman" w:eastAsia="宋体"/>
          <w:b w:val="false"/>
          <w:i w:val="false"/>
          <w:color w:val="000000"/>
          <w:sz w:val="22"/>
        </w:rPr>
        <w:t>传统电力运维模式在现代高可靠性供电要求下显现出明显的局限性。依赖人工巡检与手动倒闸的操作逻辑，不仅响应链路长，且难以实现运维质量的标准化。数字化升级的战略意义在于，通过将底层物理状态转化为高层决策逻辑，大幅度降低平均修复时间（MTTR），实现从“被动感知”到“</w:t>
      </w:r>
      <w:r>
        <w:rPr>
          <w:rFonts w:ascii="宋体" w:hAnsi="Times New Roman" w:eastAsia="宋体"/>
          <w:b/>
          <w:i w:val="false"/>
          <w:color w:val="004347"/>
          <w:sz w:val="22"/>
        </w:rPr>
        <w:t>自动执行</w:t>
      </w:r>
      <w:r>
        <w:rPr>
          <w:rFonts w:ascii="宋体" w:hAnsi="Times New Roman" w:eastAsia="宋体"/>
          <w:b w:val="false"/>
          <w:i w:val="false"/>
          <w:color w:val="000000"/>
          <w:sz w:val="22"/>
        </w:rPr>
        <w:t>”的根本性跨越。这种转型是保障电力系统本质安全、构建柔性电网的必经之路。</w:t>
      </w:r>
    </w:p>
    <w:bookmarkEnd w:id="7"/>
    <w:bookmarkStart w:name="udab1eb1d" w:id="8"/>
    <w:p>
      <w:pPr>
        <w:spacing w:after="50" w:line="360" w:lineRule="auto" w:beforeLines="100"/>
        <w:ind w:left="0"/>
        <w:jc w:val="left"/>
      </w:pPr>
      <w:bookmarkStart w:name="rJtmH" w:id="9"/>
      <w:r>
        <w:rPr>
          <w:rFonts w:eastAsia="宋体" w:ascii="宋体"/>
        </w:rPr>
        <w:drawing>
          <wp:inline distT="0" distB="0" distL="0" distR="0">
            <wp:extent cx="5841999" cy="137280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7559867" cy="4126365"/>
                    </a:xfrm>
                    <a:prstGeom prst="rect">
                      <a:avLst/>
                    </a:prstGeom>
                  </pic:spPr>
                </pic:pic>
              </a:graphicData>
            </a:graphic>
          </wp:inline>
        </w:drawing>
      </w:r>
      <w:bookmarkEnd w:id="9"/>
    </w:p>
    <w:bookmarkEnd w:id="8"/>
    <w:bookmarkStart w:name="240034c98b10ed5f05f64d39b641b47c" w:id="10"/>
    <w:p>
      <w:pPr>
        <w:spacing w:after="50" w:line="360" w:lineRule="auto" w:beforeLines="100"/>
        <w:ind w:left="0"/>
        <w:jc w:val="left"/>
      </w:pPr>
      <w:r>
        <w:rPr>
          <w:rFonts w:ascii="宋体" w:hAnsi="Times New Roman" w:eastAsia="宋体"/>
          <w:b w:val="false"/>
          <w:i w:val="false"/>
          <w:color w:val="000000"/>
          <w:sz w:val="22"/>
        </w:rPr>
        <w:t>在构建智能化方案的逻辑起点上，我们必须清醒地认识到，传统运维模式已成为制约电力系统安全效率进一步提升的瓶颈。</w:t>
      </w:r>
    </w:p>
    <w:bookmarkEnd w:id="10"/>
    <w:bookmarkStart w:name="ubf04a6b0" w:id="11"/>
    <w:p>
      <w:pPr>
        <w:spacing w:after="50" w:line="360" w:lineRule="auto" w:beforeLines="100"/>
        <w:ind w:left="0"/>
        <w:jc w:val="left"/>
      </w:pPr>
      <w:bookmarkStart w:name="pO73c" w:id="12"/>
      <w:r>
        <w:rPr>
          <w:rFonts w:eastAsia="宋体" w:ascii="宋体"/>
        </w:rPr>
        <w:drawing>
          <wp:inline distT="0" distB="0" distL="0" distR="0">
            <wp:extent cx="5842000" cy="325982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4670132" cy="24925860"/>
                    </a:xfrm>
                    <a:prstGeom prst="rect">
                      <a:avLst/>
                    </a:prstGeom>
                  </pic:spPr>
                </pic:pic>
              </a:graphicData>
            </a:graphic>
          </wp:inline>
        </w:drawing>
      </w:r>
      <w:bookmarkEnd w:id="12"/>
    </w:p>
    <w:bookmarkEnd w:id="11"/>
    <w:bookmarkStart w:name="HaRjd" w:id="13"/>
    <w:p>
      <w:pPr>
        <w:pStyle w:val="Heading3"/>
        <w:spacing w:after="50" w:line="360" w:lineRule="auto" w:beforeLines="100"/>
        <w:ind w:left="0"/>
        <w:jc w:val="left"/>
      </w:pPr>
      <w:r>
        <w:rPr>
          <w:rFonts w:ascii="宋体" w:hAnsi="Times New Roman" w:eastAsia="宋体"/>
          <w:color w:val="004347"/>
        </w:rPr>
        <w:t>深度解构：传统模式的核心风险</w:t>
      </w:r>
    </w:p>
    <w:bookmarkEnd w:id="13"/>
    <w:bookmarkStart w:name="bb816e0c3dccebc7dbb2197401f8cd56" w:id="14"/>
    <w:p>
      <w:pPr>
        <w:numPr>
          <w:ilvl w:val="0"/>
          <w:numId w:val="1"/>
        </w:numPr>
        <w:spacing w:after="50" w:line="360" w:lineRule="auto" w:beforeLines="100"/>
        <w:ind w:left="360"/>
        <w:jc w:val="left"/>
      </w:pPr>
      <w:r>
        <w:rPr>
          <w:rFonts w:ascii="宋体" w:hAnsi="Times New Roman" w:eastAsia="宋体"/>
          <w:b/>
          <w:i w:val="false"/>
          <w:color w:val="004347"/>
          <w:sz w:val="22"/>
        </w:rPr>
        <w:t>流程繁琐与效率瓶颈：</w:t>
      </w:r>
      <w:r>
        <w:rPr>
          <w:rFonts w:ascii="宋体" w:hAnsi="Times New Roman" w:eastAsia="宋体"/>
          <w:b w:val="false"/>
          <w:i w:val="false"/>
          <w:color w:val="000000"/>
          <w:sz w:val="22"/>
        </w:rPr>
        <w:t xml:space="preserve"> 传统的倒闸操作涉及多重人工核对、现场机械摇测及手动录入，单次操作耗时通常以小时计，严重限制了事故状态下的快速恢复能力。</w:t>
      </w:r>
    </w:p>
    <w:bookmarkEnd w:id="14"/>
    <w:bookmarkStart w:name="1abc5aa4e7b7aaee8e0378f031b85818" w:id="15"/>
    <w:p>
      <w:pPr>
        <w:numPr>
          <w:ilvl w:val="0"/>
          <w:numId w:val="1"/>
        </w:numPr>
        <w:spacing w:after="50" w:line="360" w:lineRule="auto" w:beforeLines="100"/>
        <w:ind w:left="360"/>
        <w:jc w:val="left"/>
      </w:pPr>
      <w:r>
        <w:rPr>
          <w:rFonts w:ascii="宋体" w:hAnsi="Times New Roman" w:eastAsia="宋体"/>
          <w:b/>
          <w:i w:val="false"/>
          <w:color w:val="004347"/>
          <w:sz w:val="22"/>
        </w:rPr>
        <w:t>过度依赖经验与人才断层风险：</w:t>
      </w:r>
      <w:r>
        <w:rPr>
          <w:rFonts w:ascii="宋体" w:hAnsi="Times New Roman" w:eastAsia="宋体"/>
          <w:b w:val="false"/>
          <w:i w:val="false"/>
          <w:color w:val="000000"/>
          <w:sz w:val="22"/>
        </w:rPr>
        <w:t xml:space="preserve"> 运维质量高度绑定人员技术水平。随着电力系统日益复杂，基层人员的经验断层现象日益严重，缺乏标准化的技术闭环导致了潜在的“知识流失”隐患。</w:t>
      </w:r>
    </w:p>
    <w:bookmarkEnd w:id="15"/>
    <w:bookmarkStart w:name="d14c00ca645c589f9c36aecc0540e761" w:id="16"/>
    <w:p>
      <w:pPr>
        <w:numPr>
          <w:ilvl w:val="0"/>
          <w:numId w:val="1"/>
        </w:numPr>
        <w:spacing w:after="50" w:line="360" w:lineRule="auto" w:beforeLines="100"/>
        <w:ind w:left="360"/>
        <w:jc w:val="left"/>
      </w:pPr>
      <w:r>
        <w:rPr>
          <w:rFonts w:ascii="宋体" w:hAnsi="Times New Roman" w:eastAsia="宋体"/>
          <w:b/>
          <w:i w:val="false"/>
          <w:color w:val="004347"/>
          <w:sz w:val="22"/>
        </w:rPr>
        <w:t>人为误操作风险（本质安全风险）：</w:t>
      </w:r>
      <w:r>
        <w:rPr>
          <w:rFonts w:ascii="宋体" w:hAnsi="Times New Roman" w:eastAsia="宋体"/>
          <w:b w:val="false"/>
          <w:i w:val="false"/>
          <w:color w:val="000000"/>
          <w:sz w:val="22"/>
        </w:rPr>
        <w:t xml:space="preserve"> 复杂的操作逻辑下，由于疲劳、压力或沟通偏差导致的人为误入带电间隔、带负荷拉合隔离开关等误操作，始终是威胁电网安全的重大隐患。</w:t>
      </w:r>
    </w:p>
    <w:bookmarkEnd w:id="16"/>
    <w:bookmarkStart w:name="w9Ehb" w:id="17"/>
    <w:p>
      <w:pPr>
        <w:spacing w:after="50" w:line="360" w:lineRule="auto" w:beforeLines="100"/>
        <w:ind w:left="0"/>
        <w:jc w:val="center"/>
      </w:pPr>
      <w:bookmarkStart w:name="u8e7e8fbf" w:id="18"/>
      <w:r>
        <w:rPr>
          <w:rFonts w:eastAsia="宋体" w:ascii="宋体"/>
        </w:rPr>
        <w:drawing>
          <wp:inline distT="0" distB="0" distL="0" distR="0">
            <wp:extent cx="5841999" cy="210812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926666" cy="2138675"/>
                    </a:xfrm>
                    <a:prstGeom prst="rect">
                      <a:avLst/>
                    </a:prstGeom>
                  </pic:spPr>
                </pic:pic>
              </a:graphicData>
            </a:graphic>
          </wp:inline>
        </w:drawing>
      </w:r>
      <w:bookmarkEnd w:id="18"/>
    </w:p>
    <w:bookmarkEnd w:id="17"/>
    <w:bookmarkStart w:name="ucdd5b993" w:id="19"/>
    <w:p>
      <w:pPr>
        <w:spacing w:after="50" w:line="360" w:lineRule="auto" w:beforeLines="100"/>
        <w:ind w:left="0"/>
        <w:jc w:val="left"/>
      </w:pPr>
      <w:bookmarkStart w:name="vkYUK" w:id="20"/>
      <w:r>
        <w:rPr>
          <w:rFonts w:eastAsia="宋体" w:ascii="宋体"/>
        </w:rPr>
        <w:drawing>
          <wp:inline distT="0" distB="0" distL="0" distR="0">
            <wp:extent cx="5842000" cy="13436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7526000" cy="4030980"/>
                    </a:xfrm>
                    <a:prstGeom prst="rect">
                      <a:avLst/>
                    </a:prstGeom>
                  </pic:spPr>
                </pic:pic>
              </a:graphicData>
            </a:graphic>
          </wp:inline>
        </w:drawing>
      </w:r>
      <w:bookmarkEnd w:id="20"/>
    </w:p>
    <w:bookmarkEnd w:id="19"/>
    <w:bookmarkStart w:name="rsaJ1" w:id="21"/>
    <w:p>
      <w:pPr>
        <w:pStyle w:val="Heading2"/>
        <w:spacing w:after="50" w:line="360" w:lineRule="auto" w:beforeLines="100"/>
        <w:ind w:left="0"/>
        <w:jc w:val="left"/>
      </w:pPr>
      <w:bookmarkStart w:name="u835342f6" w:id="22"/>
      <w:r>
        <w:rPr>
          <w:rFonts w:eastAsia="宋体" w:ascii="宋体"/>
        </w:rPr>
        <w:t>[MISSING IMAGE: ,  ]</w:t>
      </w:r>
      <w:bookmarkEnd w:id="22"/>
    </w:p>
    <w:bookmarkEnd w:id="21"/>
    <w:bookmarkStart w:name="8254aee79f06ec3a230a3ab2a4b49d51" w:id="23"/>
    <w:p>
      <w:pPr>
        <w:spacing w:after="50" w:line="360" w:lineRule="auto" w:beforeLines="100"/>
        <w:ind w:left="0"/>
        <w:jc w:val="left"/>
      </w:pPr>
      <w:r>
        <w:rPr>
          <w:rFonts w:ascii="宋体" w:hAnsi="Times New Roman" w:eastAsia="宋体"/>
          <w:b w:val="false"/>
          <w:i w:val="false"/>
          <w:color w:val="000000"/>
          <w:sz w:val="22"/>
        </w:rPr>
        <w:t>本方案旨在通过整合智能传感、AI视觉识别及边缘计算技术，构建一个“</w:t>
      </w:r>
      <w:r>
        <w:rPr>
          <w:rFonts w:ascii="宋体" w:hAnsi="Times New Roman" w:eastAsia="宋体"/>
          <w:b/>
          <w:i w:val="false"/>
          <w:color w:val="004347"/>
          <w:sz w:val="22"/>
        </w:rPr>
        <w:t>感知灵敏、逻辑清晰、决策精准</w:t>
      </w:r>
      <w:r>
        <w:rPr>
          <w:rFonts w:ascii="宋体" w:hAnsi="Times New Roman" w:eastAsia="宋体"/>
          <w:b w:val="false"/>
          <w:i w:val="false"/>
          <w:color w:val="000000"/>
          <w:sz w:val="22"/>
        </w:rPr>
        <w:t>”的数字化运维体系，实现软硬件的高效协同。</w:t>
      </w:r>
    </w:p>
    <w:bookmarkEnd w:id="23"/>
    <w:bookmarkStart w:name="fEwdg" w:id="24"/>
    <w:p>
      <w:pPr>
        <w:pStyle w:val="Heading3"/>
        <w:spacing w:after="50" w:line="360" w:lineRule="auto" w:beforeLines="100"/>
        <w:ind w:left="0"/>
        <w:jc w:val="left"/>
      </w:pPr>
      <w:r>
        <w:rPr>
          <w:rFonts w:ascii="宋体" w:hAnsi="Times New Roman" w:eastAsia="宋体"/>
          <w:color w:val="004347"/>
        </w:rPr>
        <w:t>架构透视与技术赋能</w:t>
      </w:r>
    </w:p>
    <w:bookmarkEnd w:id="24"/>
    <w:bookmarkStart w:name="99eb0d98368b854bd9c5f21ad70815b7" w:id="25"/>
    <w:p>
      <w:pPr>
        <w:spacing w:after="50" w:line="360" w:lineRule="auto" w:beforeLines="100"/>
        <w:ind w:left="0"/>
        <w:jc w:val="left"/>
      </w:pPr>
      <w:r>
        <w:rPr>
          <w:rFonts w:ascii="宋体" w:hAnsi="Times New Roman" w:eastAsia="宋体"/>
          <w:b w:val="false"/>
          <w:i w:val="false"/>
          <w:color w:val="000000"/>
          <w:sz w:val="22"/>
        </w:rPr>
        <w:t>方案核心基于“</w:t>
      </w:r>
      <w:r>
        <w:rPr>
          <w:rFonts w:ascii="宋体" w:hAnsi="Times New Roman" w:eastAsia="宋体"/>
          <w:b/>
          <w:i w:val="false"/>
          <w:color w:val="004347"/>
          <w:sz w:val="22"/>
        </w:rPr>
        <w:t>边缘感知+云端决策</w:t>
      </w:r>
      <w:r>
        <w:rPr>
          <w:rFonts w:ascii="宋体" w:hAnsi="Times New Roman" w:eastAsia="宋体"/>
          <w:b w:val="false"/>
          <w:i w:val="false"/>
          <w:color w:val="000000"/>
          <w:sz w:val="22"/>
        </w:rPr>
        <w:t>”的深度耦合模式。利用微机综合保护后台系统，将底层GKG系列设备的数据流与高层PLC集中操作逻辑实时打通。智能传感单元负责设备健康状态的“实时体检”，而AI视觉系统则为自动化执行提供闭环确认，共同提升设备的运行可靠性。</w:t>
      </w:r>
    </w:p>
    <w:bookmarkEnd w:id="25"/>
    <w:bookmarkStart w:name="u7baf47f9" w:id="26"/>
    <w:p>
      <w:pPr>
        <w:spacing w:after="50" w:line="360" w:lineRule="auto" w:beforeLines="100"/>
        <w:ind w:left="0"/>
        <w:jc w:val="left"/>
      </w:pPr>
      <w:bookmarkStart w:name="GXk6C" w:id="27"/>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7576800" cy="3937024"/>
                    </a:xfrm>
                    <a:prstGeom prst="rect">
                      <a:avLst/>
                    </a:prstGeom>
                  </pic:spPr>
                </pic:pic>
              </a:graphicData>
            </a:graphic>
          </wp:inline>
        </w:drawing>
      </w:r>
      <w:bookmarkEnd w:id="27"/>
    </w:p>
    <w:bookmarkEnd w:id="26"/>
    <w:bookmarkStart w:name="u8cd98e36" w:id="28"/>
    <w:p>
      <w:pPr>
        <w:spacing w:after="50" w:line="360" w:lineRule="auto" w:beforeLines="100"/>
        <w:ind w:left="0"/>
        <w:jc w:val="left"/>
      </w:pPr>
      <w:bookmarkStart w:name="u467b1e3b" w:id="29"/>
      <w:r>
        <w:rPr>
          <w:rFonts w:eastAsia="宋体" w:ascii="宋体"/>
        </w:rPr>
        <w:t>[MISSING IMAGE: ,  ]</w:t>
      </w:r>
      <w:bookmarkEnd w:id="29"/>
    </w:p>
    <w:bookmarkEnd w:id="28"/>
    <w:bookmarkStart w:name="jI6PC" w:id="30"/>
    <w:p>
      <w:pPr>
        <w:pStyle w:val="Heading3"/>
        <w:spacing w:after="50" w:line="360" w:lineRule="auto" w:beforeLines="100"/>
        <w:ind w:left="0"/>
        <w:jc w:val="left"/>
      </w:pPr>
      <w:r>
        <w:rPr>
          <w:rFonts w:ascii="宋体" w:hAnsi="Times New Roman" w:eastAsia="宋体"/>
          <w:color w:val="004347"/>
        </w:rPr>
        <w:t>逻辑重构：从“人工操作票”到“标准化程序”</w:t>
      </w:r>
    </w:p>
    <w:bookmarkEnd w:id="30"/>
    <w:bookmarkStart w:name="u1f752e11" w:id="31"/>
    <w:p>
      <w:pPr>
        <w:spacing w:after="50" w:line="360" w:lineRule="auto" w:beforeLines="100"/>
        <w:ind w:left="0"/>
        <w:jc w:val="left"/>
      </w:pPr>
      <w:r>
        <w:rPr>
          <w:rFonts w:ascii="宋体" w:hAnsi="Times New Roman" w:eastAsia="宋体"/>
          <w:b w:val="false"/>
          <w:i w:val="false"/>
          <w:color w:val="000000"/>
          <w:sz w:val="22"/>
        </w:rPr>
        <w:t>传统运维依赖繁琐的人工“操作票”制度，耗时耗力且存在误操作风险。轨物科技通过</w:t>
      </w:r>
      <w:r>
        <w:rPr>
          <w:rFonts w:ascii="宋体" w:hAnsi="Times New Roman" w:eastAsia="宋体"/>
          <w:b/>
          <w:i w:val="false"/>
          <w:color w:val="004347"/>
          <w:sz w:val="22"/>
        </w:rPr>
        <w:t>一键顺控专家系统</w:t>
      </w:r>
      <w:r>
        <w:rPr>
          <w:rFonts w:ascii="宋体" w:hAnsi="Times New Roman" w:eastAsia="宋体"/>
          <w:b w:val="false"/>
          <w:i w:val="false"/>
          <w:color w:val="000000"/>
          <w:sz w:val="22"/>
        </w:rPr>
        <w:t>对业务逻辑进行了底层重构：</w:t>
      </w:r>
    </w:p>
    <w:bookmarkEnd w:id="31"/>
    <w:bookmarkStart w:name="u79cca946" w:id="32"/>
    <w:p>
      <w:pPr>
        <w:numPr>
          <w:ilvl w:val="0"/>
          <w:numId w:val="2"/>
        </w:numPr>
        <w:spacing w:after="50" w:line="360" w:lineRule="auto" w:beforeLines="100"/>
        <w:ind w:left="360"/>
        <w:jc w:val="left"/>
      </w:pPr>
      <w:r>
        <w:rPr>
          <w:rFonts w:ascii="宋体" w:hAnsi="Times New Roman" w:eastAsia="宋体"/>
          <w:b/>
          <w:i w:val="false"/>
          <w:color w:val="004347"/>
          <w:sz w:val="22"/>
        </w:rPr>
        <w:t>状态标准化（四大工况）：</w:t>
      </w:r>
      <w:r>
        <w:rPr>
          <w:rFonts w:ascii="宋体" w:hAnsi="Times New Roman" w:eastAsia="宋体"/>
          <w:b w:val="false"/>
          <w:i w:val="false"/>
          <w:color w:val="004347"/>
          <w:sz w:val="22"/>
        </w:rPr>
        <w:t xml:space="preserve"> </w:t>
      </w:r>
      <w:r>
        <w:rPr>
          <w:rFonts w:ascii="宋体" w:hAnsi="Times New Roman" w:eastAsia="宋体"/>
          <w:b w:val="false"/>
          <w:i w:val="false"/>
          <w:color w:val="000000"/>
          <w:sz w:val="22"/>
        </w:rPr>
        <w:t>系统将开关柜的运行逻辑固化为四个标准状态：</w:t>
      </w:r>
      <w:r>
        <w:rPr>
          <w:rFonts w:ascii="宋体" w:hAnsi="Times New Roman" w:eastAsia="宋体"/>
          <w:b/>
          <w:i w:val="false"/>
          <w:color w:val="004347"/>
          <w:sz w:val="22"/>
        </w:rPr>
        <w:t>运行态、热备态、冷备态、检修态</w:t>
      </w:r>
      <w:r>
        <w:rPr>
          <w:rFonts w:ascii="宋体" w:hAnsi="Times New Roman" w:eastAsia="宋体"/>
          <w:b w:val="false"/>
          <w:i w:val="false"/>
          <w:color w:val="004347"/>
          <w:sz w:val="22"/>
        </w:rPr>
        <w:t>。</w:t>
      </w:r>
      <w:r>
        <w:rPr>
          <w:rFonts w:ascii="宋体" w:hAnsi="Times New Roman" w:eastAsia="宋体"/>
          <w:b w:val="false"/>
          <w:i w:val="false"/>
          <w:color w:val="000000"/>
          <w:sz w:val="22"/>
        </w:rPr>
        <w:t>每个状态均由断路器、手车、接地刀的位置传感器信号进行自动判定，并需满足预设的“状态充电时间Tcd”（通常为5秒）以确保信号稳定可靠。</w:t>
      </w:r>
    </w:p>
    <w:bookmarkEnd w:id="32"/>
    <w:bookmarkStart w:name="ue71cde4c" w:id="33"/>
    <w:p>
      <w:pPr>
        <w:numPr>
          <w:ilvl w:val="0"/>
          <w:numId w:val="2"/>
        </w:numPr>
        <w:spacing w:after="50" w:line="360" w:lineRule="auto" w:beforeLines="100"/>
        <w:ind w:left="360"/>
        <w:jc w:val="left"/>
      </w:pPr>
      <w:r>
        <w:rPr>
          <w:rFonts w:ascii="宋体" w:hAnsi="Times New Roman" w:eastAsia="宋体"/>
          <w:b/>
          <w:i w:val="false"/>
          <w:color w:val="004347"/>
          <w:sz w:val="22"/>
        </w:rPr>
        <w:t>无缝切换逻辑：</w:t>
      </w:r>
      <w:r>
        <w:rPr>
          <w:rFonts w:ascii="宋体" w:hAnsi="Times New Roman" w:eastAsia="宋体"/>
          <w:b w:val="false"/>
          <w:i w:val="false"/>
          <w:color w:val="004347"/>
          <w:sz w:val="22"/>
        </w:rPr>
        <w:t xml:space="preserve"> </w:t>
      </w:r>
      <w:r>
        <w:rPr>
          <w:rFonts w:ascii="宋体" w:hAnsi="Times New Roman" w:eastAsia="宋体"/>
          <w:b w:val="false"/>
          <w:i w:val="false"/>
          <w:color w:val="000000"/>
          <w:sz w:val="22"/>
        </w:rPr>
        <w:t>运维人员只需选择目标状态（如“转检修”），专家系统会根据当前状态</w:t>
      </w:r>
      <w:r>
        <w:rPr>
          <w:rFonts w:ascii="宋体" w:hAnsi="Times New Roman" w:eastAsia="宋体"/>
          <w:b/>
          <w:i w:val="false"/>
          <w:color w:val="004347"/>
          <w:sz w:val="22"/>
        </w:rPr>
        <w:t>自动规划操作路径</w:t>
      </w:r>
      <w:r>
        <w:rPr>
          <w:rFonts w:ascii="宋体" w:hAnsi="Times New Roman" w:eastAsia="宋体"/>
          <w:b w:val="false"/>
          <w:i w:val="false"/>
          <w:color w:val="000000"/>
          <w:sz w:val="22"/>
        </w:rPr>
        <w:t>，并按序驱动执行机构，无需任何人工计算或中间干预。</w:t>
      </w:r>
    </w:p>
    <w:bookmarkEnd w:id="33"/>
    <w:bookmarkStart w:name="u974e6ab7" w:id="34"/>
    <w:p>
      <w:pPr>
        <w:numPr>
          <w:ilvl w:val="0"/>
          <w:numId w:val="2"/>
        </w:numPr>
        <w:spacing w:after="50" w:line="360" w:lineRule="auto" w:beforeLines="100"/>
        <w:ind w:left="360"/>
        <w:jc w:val="left"/>
      </w:pPr>
      <w:r>
        <w:rPr>
          <w:rFonts w:ascii="宋体" w:hAnsi="Times New Roman" w:eastAsia="宋体"/>
          <w:b/>
          <w:i w:val="false"/>
          <w:color w:val="004347"/>
          <w:sz w:val="22"/>
        </w:rPr>
        <w:t>软件“五防”闭锁：</w:t>
      </w:r>
      <w:r>
        <w:rPr>
          <w:rFonts w:ascii="宋体" w:hAnsi="Times New Roman" w:eastAsia="宋体"/>
          <w:b w:val="false"/>
          <w:i w:val="false"/>
          <w:color w:val="000000"/>
          <w:sz w:val="22"/>
        </w:rPr>
        <w:t xml:space="preserve"> 系统内嵌了严密的软件五防逻辑（如防带负荷拉合隔离开关等），在执行每一步指令前都会进行</w:t>
      </w:r>
      <w:r>
        <w:rPr>
          <w:rFonts w:ascii="宋体" w:hAnsi="Times New Roman" w:eastAsia="宋体"/>
          <w:b/>
          <w:i w:val="false"/>
          <w:color w:val="004347"/>
          <w:sz w:val="22"/>
        </w:rPr>
        <w:t>自动逻辑校核</w:t>
      </w:r>
      <w:r>
        <w:rPr>
          <w:rFonts w:ascii="宋体" w:hAnsi="Times New Roman" w:eastAsia="宋体"/>
          <w:b w:val="false"/>
          <w:i w:val="false"/>
          <w:color w:val="000000"/>
          <w:sz w:val="22"/>
        </w:rPr>
        <w:t>，一旦条件不满足，流程立即中止并报警。</w:t>
      </w:r>
    </w:p>
    <w:bookmarkEnd w:id="34"/>
    <w:bookmarkStart w:name="wS4gW" w:id="35"/>
    <w:p>
      <w:pPr>
        <w:pStyle w:val="Heading3"/>
        <w:spacing w:after="50" w:line="360" w:lineRule="auto" w:beforeLines="100"/>
        <w:ind w:left="0"/>
        <w:jc w:val="left"/>
      </w:pPr>
      <w:r>
        <w:rPr>
          <w:rFonts w:ascii="宋体" w:hAnsi="Times New Roman" w:eastAsia="宋体"/>
          <w:color w:val="004347"/>
        </w:rPr>
        <w:t xml:space="preserve"> 自动执行：高精度驱动与智能保护</w:t>
      </w:r>
    </w:p>
    <w:bookmarkEnd w:id="35"/>
    <w:bookmarkStart w:name="ufd929788" w:id="36"/>
    <w:p>
      <w:pPr>
        <w:spacing w:after="50" w:line="360" w:lineRule="auto" w:beforeLines="100"/>
        <w:ind w:left="0"/>
        <w:jc w:val="left"/>
      </w:pPr>
      <w:r>
        <w:rPr>
          <w:rFonts w:ascii="宋体" w:hAnsi="Times New Roman" w:eastAsia="宋体"/>
          <w:b w:val="false"/>
          <w:i w:val="false"/>
          <w:color w:val="000000"/>
          <w:sz w:val="22"/>
        </w:rPr>
        <w:t>一键顺控的执行层依托于轨物科技自研的一键顺控装置与驱动机构，实现了操作的极致精确：</w:t>
      </w:r>
    </w:p>
    <w:bookmarkEnd w:id="36"/>
    <w:bookmarkStart w:name="u5553ad0e" w:id="37"/>
    <w:p>
      <w:pPr>
        <w:numPr>
          <w:ilvl w:val="0"/>
          <w:numId w:val="3"/>
        </w:numPr>
        <w:spacing w:after="50" w:line="360" w:lineRule="auto" w:beforeLines="100"/>
        <w:ind w:left="360"/>
        <w:jc w:val="left"/>
      </w:pPr>
      <w:r>
        <w:rPr>
          <w:rFonts w:ascii="宋体" w:hAnsi="Times New Roman" w:eastAsia="宋体"/>
          <w:b/>
          <w:i w:val="false"/>
          <w:color w:val="004347"/>
          <w:sz w:val="22"/>
        </w:rPr>
        <w:t>全自动控制：</w:t>
      </w:r>
      <w:r>
        <w:rPr>
          <w:rFonts w:ascii="宋体" w:hAnsi="Times New Roman" w:eastAsia="宋体"/>
          <w:b w:val="false"/>
          <w:i w:val="false"/>
          <w:color w:val="000000"/>
          <w:sz w:val="22"/>
        </w:rPr>
        <w:t xml:space="preserve"> 系统能够一键完成断路器弹簧机构、电动底盘车及电动接地刀的程序化动作。</w:t>
      </w:r>
    </w:p>
    <w:bookmarkEnd w:id="37"/>
    <w:bookmarkStart w:name="u10bc957b" w:id="38"/>
    <w:p>
      <w:pPr>
        <w:numPr>
          <w:ilvl w:val="0"/>
          <w:numId w:val="3"/>
        </w:numPr>
        <w:spacing w:after="50" w:line="360" w:lineRule="auto" w:beforeLines="100"/>
        <w:ind w:left="360"/>
        <w:jc w:val="left"/>
      </w:pPr>
      <w:r>
        <w:rPr>
          <w:rFonts w:ascii="宋体" w:hAnsi="Times New Roman" w:eastAsia="宋体"/>
          <w:b/>
          <w:i w:val="false"/>
          <w:color w:val="004347"/>
          <w:sz w:val="22"/>
        </w:rPr>
        <w:t>精细化驱动保护：</w:t>
      </w:r>
      <w:r>
        <w:rPr>
          <w:rFonts w:ascii="宋体" w:hAnsi="Times New Roman" w:eastAsia="宋体"/>
          <w:b w:val="false"/>
          <w:i w:val="false"/>
          <w:color w:val="000000"/>
          <w:sz w:val="22"/>
        </w:rPr>
        <w:t xml:space="preserve"> 针对电机控制，引入了</w:t>
      </w:r>
      <w:r>
        <w:rPr>
          <w:rFonts w:ascii="宋体" w:hAnsi="Times New Roman" w:eastAsia="宋体"/>
          <w:b/>
          <w:i w:val="false"/>
          <w:color w:val="004347"/>
          <w:sz w:val="22"/>
        </w:rPr>
        <w:t>软起软停技术</w:t>
      </w:r>
      <w:r>
        <w:rPr>
          <w:rFonts w:ascii="宋体" w:hAnsi="Times New Roman" w:eastAsia="宋体"/>
          <w:b w:val="false"/>
          <w:i w:val="false"/>
          <w:color w:val="000000"/>
          <w:sz w:val="22"/>
        </w:rPr>
        <w:t>以延长机械寿命，并具备</w:t>
      </w:r>
      <w:r>
        <w:rPr>
          <w:rFonts w:ascii="宋体" w:hAnsi="Times New Roman" w:eastAsia="宋体"/>
          <w:b/>
          <w:i w:val="false"/>
          <w:color w:val="004347"/>
          <w:sz w:val="22"/>
        </w:rPr>
        <w:t>堵转保护、超时保护</w:t>
      </w:r>
      <w:r>
        <w:rPr>
          <w:rFonts w:ascii="宋体" w:hAnsi="Times New Roman" w:eastAsia="宋体"/>
          <w:b/>
          <w:i w:val="false"/>
          <w:color w:val="000000"/>
          <w:sz w:val="22"/>
        </w:rPr>
        <w:t>与</w:t>
      </w:r>
      <w:r>
        <w:rPr>
          <w:rFonts w:ascii="宋体" w:hAnsi="Times New Roman" w:eastAsia="宋体"/>
          <w:b/>
          <w:i w:val="false"/>
          <w:color w:val="004347"/>
          <w:sz w:val="22"/>
        </w:rPr>
        <w:t>自动复位</w:t>
      </w:r>
      <w:r>
        <w:rPr>
          <w:rFonts w:ascii="宋体" w:hAnsi="Times New Roman" w:eastAsia="宋体"/>
          <w:b w:val="false"/>
          <w:i w:val="false"/>
          <w:color w:val="000000"/>
          <w:sz w:val="22"/>
        </w:rPr>
        <w:t>功能。例如，底盘车在进出过程中如遇卡涩，系统检测到电流异常增大时会立即控制电机反转，使机构退回初始位置并告警。</w:t>
      </w:r>
    </w:p>
    <w:bookmarkEnd w:id="38"/>
    <w:bookmarkStart w:name="u98bc69c4" w:id="39"/>
    <w:p>
      <w:pPr>
        <w:numPr>
          <w:ilvl w:val="0"/>
          <w:numId w:val="3"/>
        </w:numPr>
        <w:spacing w:after="50" w:line="360" w:lineRule="auto" w:beforeLines="100"/>
        <w:ind w:left="360"/>
        <w:jc w:val="left"/>
      </w:pPr>
      <w:r>
        <w:rPr>
          <w:rFonts w:ascii="宋体" w:hAnsi="Times New Roman" w:eastAsia="宋体"/>
          <w:b/>
          <w:i w:val="false"/>
          <w:color w:val="004347"/>
          <w:sz w:val="22"/>
        </w:rPr>
        <w:t>手动/电动互锁：</w:t>
      </w:r>
      <w:r>
        <w:rPr>
          <w:rFonts w:ascii="宋体" w:hAnsi="Times New Roman" w:eastAsia="宋体"/>
          <w:b w:val="false"/>
          <w:i w:val="false"/>
          <w:color w:val="000000"/>
          <w:sz w:val="22"/>
        </w:rPr>
        <w:t xml:space="preserve"> 具备机械闭锁离合装置，确保手动摇把插入时电动回路自动切断，反之亦然，实现两种操作模式的安全互锁。</w:t>
      </w:r>
    </w:p>
    <w:bookmarkEnd w:id="39"/>
    <w:bookmarkStart w:name="Ckqg4" w:id="40"/>
    <w:p>
      <w:pPr>
        <w:pStyle w:val="Heading3"/>
        <w:spacing w:after="50" w:line="360" w:lineRule="auto" w:beforeLines="100"/>
        <w:ind w:left="0"/>
        <w:jc w:val="left"/>
      </w:pPr>
      <w:r>
        <w:rPr>
          <w:rFonts w:ascii="宋体" w:hAnsi="Times New Roman" w:eastAsia="宋体"/>
          <w:color w:val="004347"/>
        </w:rPr>
        <w:t>优势亮点 1：看得见的“AI双辅助判据”</w:t>
      </w:r>
    </w:p>
    <w:bookmarkEnd w:id="40"/>
    <w:bookmarkStart w:name="u8c072ee7" w:id="41"/>
    <w:p>
      <w:pPr>
        <w:spacing w:after="50" w:line="360" w:lineRule="auto" w:beforeLines="100"/>
        <w:ind w:left="0"/>
        <w:jc w:val="left"/>
      </w:pPr>
      <w:r>
        <w:rPr>
          <w:rFonts w:ascii="宋体" w:hAnsi="Times New Roman" w:eastAsia="宋体"/>
          <w:b w:val="false"/>
          <w:i w:val="false"/>
          <w:color w:val="000000"/>
          <w:sz w:val="22"/>
        </w:rPr>
        <w:t>为了实现</w:t>
      </w:r>
      <w:r>
        <w:rPr>
          <w:rFonts w:ascii="宋体" w:hAnsi="Times New Roman" w:eastAsia="宋体"/>
          <w:b/>
          <w:i w:val="false"/>
          <w:color w:val="004347"/>
          <w:sz w:val="22"/>
        </w:rPr>
        <w:t>100%的操作可靠性</w:t>
      </w:r>
      <w:r>
        <w:rPr>
          <w:rFonts w:ascii="宋体" w:hAnsi="Times New Roman" w:eastAsia="宋体"/>
          <w:b w:val="false"/>
          <w:i w:val="false"/>
          <w:color w:val="000000"/>
          <w:sz w:val="22"/>
        </w:rPr>
        <w:t>，轨物科技引入了视觉与数据的双重验证机制：</w:t>
      </w:r>
    </w:p>
    <w:bookmarkEnd w:id="41"/>
    <w:bookmarkStart w:name="ue2c1c494" w:id="42"/>
    <w:p>
      <w:pPr>
        <w:numPr>
          <w:ilvl w:val="0"/>
          <w:numId w:val="4"/>
        </w:numPr>
        <w:spacing w:after="50" w:line="360" w:lineRule="auto" w:beforeLines="100"/>
        <w:ind w:left="360"/>
        <w:jc w:val="left"/>
      </w:pPr>
      <w:r>
        <w:rPr>
          <w:rFonts w:ascii="宋体" w:hAnsi="Times New Roman" w:eastAsia="宋体"/>
          <w:b/>
          <w:i w:val="false"/>
          <w:color w:val="004347"/>
          <w:sz w:val="22"/>
        </w:rPr>
        <w:t>硬件部署：</w:t>
      </w:r>
      <w:r>
        <w:rPr>
          <w:rFonts w:ascii="宋体" w:hAnsi="Times New Roman" w:eastAsia="宋体"/>
          <w:b w:val="false"/>
          <w:i w:val="false"/>
          <w:color w:val="000000"/>
          <w:sz w:val="22"/>
        </w:rPr>
        <w:t xml:space="preserve"> 在断路器室、电缆室及接地开关处布置</w:t>
      </w:r>
      <w:r>
        <w:rPr>
          <w:rFonts w:ascii="宋体" w:hAnsi="Times New Roman" w:eastAsia="宋体"/>
          <w:b w:val="false"/>
          <w:i w:val="false"/>
          <w:color w:val="004347"/>
          <w:sz w:val="22"/>
        </w:rPr>
        <w:t xml:space="preserve"> </w:t>
      </w:r>
      <w:r>
        <w:rPr>
          <w:rFonts w:ascii="宋体" w:hAnsi="Times New Roman" w:eastAsia="宋体"/>
          <w:b/>
          <w:i w:val="false"/>
          <w:color w:val="004347"/>
          <w:sz w:val="22"/>
        </w:rPr>
        <w:t>Kgg-05 高清低照度AI智能网络摄像机</w:t>
      </w:r>
      <w:r>
        <w:rPr>
          <w:rFonts w:ascii="宋体" w:hAnsi="Times New Roman" w:eastAsia="宋体"/>
          <w:b w:val="false"/>
          <w:i w:val="false"/>
          <w:color w:val="000000"/>
          <w:sz w:val="22"/>
        </w:rPr>
        <w:t>。</w:t>
      </w:r>
    </w:p>
    <w:bookmarkEnd w:id="42"/>
    <w:bookmarkStart w:name="uaa31f55e" w:id="43"/>
    <w:p>
      <w:pPr>
        <w:numPr>
          <w:ilvl w:val="0"/>
          <w:numId w:val="4"/>
        </w:numPr>
        <w:spacing w:after="50" w:line="360" w:lineRule="auto" w:beforeLines="100"/>
        <w:ind w:left="360"/>
        <w:jc w:val="left"/>
      </w:pPr>
      <w:r>
        <w:rPr>
          <w:rFonts w:ascii="宋体" w:hAnsi="Times New Roman" w:eastAsia="宋体"/>
          <w:b/>
          <w:i w:val="false"/>
          <w:color w:val="004347"/>
          <w:sz w:val="22"/>
        </w:rPr>
        <w:t>双校核逻辑：</w:t>
      </w:r>
      <w:r>
        <w:rPr>
          <w:rFonts w:ascii="宋体" w:hAnsi="Times New Roman" w:eastAsia="宋体"/>
          <w:b w:val="false"/>
          <w:i w:val="false"/>
          <w:color w:val="000000"/>
          <w:sz w:val="22"/>
        </w:rPr>
        <w:t xml:space="preserve"> 操作完成后的第一判据来自</w:t>
      </w:r>
      <w:r>
        <w:rPr>
          <w:rFonts w:ascii="宋体" w:hAnsi="Times New Roman" w:eastAsia="宋体"/>
          <w:b/>
          <w:i w:val="false"/>
          <w:color w:val="004347"/>
          <w:sz w:val="22"/>
        </w:rPr>
        <w:t>传感器状态反馈</w:t>
      </w:r>
      <w:r>
        <w:rPr>
          <w:rFonts w:ascii="宋体" w:hAnsi="Times New Roman" w:eastAsia="宋体"/>
          <w:b w:val="false"/>
          <w:i w:val="false"/>
          <w:color w:val="000000"/>
          <w:sz w:val="22"/>
        </w:rPr>
        <w:t>；第二判据则由</w:t>
      </w:r>
      <w:r>
        <w:rPr>
          <w:rFonts w:ascii="宋体" w:hAnsi="Times New Roman" w:eastAsia="宋体"/>
          <w:b/>
          <w:i w:val="false"/>
          <w:color w:val="004347"/>
          <w:sz w:val="22"/>
        </w:rPr>
        <w:t>AI视觉图像识别</w:t>
      </w:r>
      <w:r>
        <w:rPr>
          <w:rFonts w:ascii="宋体" w:hAnsi="Times New Roman" w:eastAsia="宋体"/>
          <w:b w:val="false"/>
          <w:i w:val="false"/>
          <w:color w:val="000000"/>
          <w:sz w:val="22"/>
        </w:rPr>
        <w:t>自动完成，通过比对实时画面与标准位图像，确保物理动作与预期完全一致。</w:t>
      </w:r>
    </w:p>
    <w:bookmarkEnd w:id="43"/>
    <w:bookmarkStart w:name="u64106280" w:id="44"/>
    <w:p>
      <w:pPr>
        <w:numPr>
          <w:ilvl w:val="0"/>
          <w:numId w:val="4"/>
        </w:numPr>
        <w:spacing w:after="50" w:line="360" w:lineRule="auto" w:beforeLines="100"/>
        <w:ind w:left="360"/>
        <w:jc w:val="left"/>
      </w:pPr>
      <w:r>
        <w:rPr>
          <w:rFonts w:ascii="宋体" w:hAnsi="Times New Roman" w:eastAsia="宋体"/>
          <w:b/>
          <w:i w:val="false"/>
          <w:color w:val="004347"/>
          <w:sz w:val="22"/>
        </w:rPr>
        <w:t>价值体现：</w:t>
      </w:r>
      <w:r>
        <w:rPr>
          <w:rFonts w:ascii="宋体" w:hAnsi="Times New Roman" w:eastAsia="宋体"/>
          <w:b w:val="false"/>
          <w:i w:val="false"/>
          <w:color w:val="004347"/>
          <w:sz w:val="22"/>
        </w:rPr>
        <w:t xml:space="preserve"> </w:t>
      </w:r>
      <w:r>
        <w:rPr>
          <w:rFonts w:ascii="宋体" w:hAnsi="Times New Roman" w:eastAsia="宋体"/>
          <w:b w:val="false"/>
          <w:i w:val="false"/>
          <w:color w:val="000000"/>
          <w:sz w:val="22"/>
        </w:rPr>
        <w:t>这赋予了运维团队远程“透视”能力，并为操作成功提供了</w:t>
      </w:r>
      <w:r>
        <w:rPr>
          <w:rFonts w:ascii="宋体" w:hAnsi="Times New Roman" w:eastAsia="宋体"/>
          <w:b/>
          <w:i w:val="false"/>
          <w:color w:val="004347"/>
          <w:sz w:val="22"/>
        </w:rPr>
        <w:t>不可否认的视觉证据</w:t>
      </w:r>
      <w:r>
        <w:rPr>
          <w:rFonts w:ascii="宋体" w:hAnsi="Times New Roman" w:eastAsia="宋体"/>
          <w:b w:val="false"/>
          <w:i w:val="false"/>
          <w:color w:val="000000"/>
          <w:sz w:val="22"/>
        </w:rPr>
        <w:t>，彻底杜绝了因传感器虚假信号导致的误判风险。</w:t>
      </w:r>
    </w:p>
    <w:bookmarkEnd w:id="44"/>
    <w:bookmarkStart w:name="u260c89ab" w:id="45"/>
    <w:p>
      <w:pPr>
        <w:spacing w:after="50" w:line="360" w:lineRule="auto" w:beforeLines="100"/>
        <w:ind w:left="0"/>
        <w:jc w:val="left"/>
      </w:pPr>
      <w:bookmarkStart w:name="JNfhM" w:id="46"/>
      <w:r>
        <w:rPr>
          <w:rFonts w:eastAsia="宋体" w:ascii="宋体"/>
        </w:rPr>
        <w:t>[MISSING IMAGE: ,  ]</w:t>
      </w:r>
      <w:bookmarkEnd w:id="46"/>
    </w:p>
    <w:bookmarkEnd w:id="45"/>
    <w:bookmarkStart w:name="wtcdE" w:id="47"/>
    <w:p>
      <w:pPr>
        <w:pStyle w:val="Heading3"/>
        <w:spacing w:after="50" w:line="360" w:lineRule="auto" w:beforeLines="100"/>
        <w:ind w:left="0"/>
        <w:jc w:val="left"/>
      </w:pPr>
      <w:r>
        <w:rPr>
          <w:rFonts w:ascii="宋体" w:hAnsi="Times New Roman" w:eastAsia="宋体"/>
        </w:rPr>
        <w:t xml:space="preserve"> </w:t>
      </w:r>
      <w:r>
        <w:rPr>
          <w:rFonts w:ascii="宋体" w:hAnsi="Times New Roman" w:eastAsia="宋体"/>
          <w:color w:val="004347"/>
        </w:rPr>
        <w:t>优势亮点 2：听得懂的“沉浸式智慧交互”</w:t>
      </w:r>
    </w:p>
    <w:bookmarkEnd w:id="47"/>
    <w:bookmarkStart w:name="u9066b46d" w:id="48"/>
    <w:p>
      <w:pPr>
        <w:spacing w:after="50" w:line="360" w:lineRule="auto" w:beforeLines="100"/>
        <w:ind w:left="0"/>
        <w:jc w:val="left"/>
      </w:pPr>
      <w:r>
        <w:rPr>
          <w:rFonts w:ascii="宋体" w:hAnsi="Times New Roman" w:eastAsia="宋体"/>
          <w:b w:val="false"/>
          <w:i w:val="false"/>
          <w:color w:val="000000"/>
          <w:sz w:val="22"/>
        </w:rPr>
        <w:t>依托</w:t>
      </w:r>
      <w:r>
        <w:rPr>
          <w:rFonts w:ascii="宋体" w:hAnsi="Times New Roman" w:eastAsia="宋体"/>
          <w:b w:val="false"/>
          <w:i w:val="false"/>
          <w:color w:val="004347"/>
          <w:sz w:val="22"/>
        </w:rPr>
        <w:t xml:space="preserve"> </w:t>
      </w:r>
      <w:r>
        <w:rPr>
          <w:rFonts w:ascii="宋体" w:hAnsi="Times New Roman" w:eastAsia="宋体"/>
          <w:b/>
          <w:i w:val="false"/>
          <w:color w:val="004347"/>
          <w:sz w:val="22"/>
        </w:rPr>
        <w:t>10寸本地智慧交互终端（Kgg-06）</w:t>
      </w:r>
      <w:r>
        <w:rPr>
          <w:rFonts w:ascii="宋体" w:hAnsi="Times New Roman" w:eastAsia="宋体"/>
          <w:b w:val="false"/>
          <w:i w:val="false"/>
          <w:color w:val="000000"/>
          <w:sz w:val="22"/>
        </w:rPr>
        <w:t>，系统实现了高度的人机协同：</w:t>
      </w:r>
    </w:p>
    <w:bookmarkEnd w:id="48"/>
    <w:bookmarkStart w:name="u60af8e76" w:id="49"/>
    <w:p>
      <w:pPr>
        <w:numPr>
          <w:ilvl w:val="0"/>
          <w:numId w:val="5"/>
        </w:numPr>
        <w:spacing w:after="50" w:line="360" w:lineRule="auto" w:beforeLines="100"/>
        <w:ind w:left="360"/>
        <w:jc w:val="left"/>
      </w:pPr>
      <w:r>
        <w:rPr>
          <w:rFonts w:ascii="宋体" w:hAnsi="Times New Roman" w:eastAsia="宋体"/>
          <w:b/>
          <w:i w:val="false"/>
          <w:color w:val="004347"/>
          <w:sz w:val="22"/>
        </w:rPr>
        <w:t>语音反馈：</w:t>
      </w:r>
      <w:r>
        <w:rPr>
          <w:rFonts w:ascii="宋体" w:hAnsi="Times New Roman" w:eastAsia="宋体"/>
          <w:b w:val="false"/>
          <w:i w:val="false"/>
          <w:color w:val="000000"/>
          <w:sz w:val="22"/>
        </w:rPr>
        <w:t xml:space="preserve"> 终端支持外接大功率喇叭，可在操作过程中进行</w:t>
      </w:r>
      <w:r>
        <w:rPr>
          <w:rFonts w:ascii="宋体" w:hAnsi="Times New Roman" w:eastAsia="宋体"/>
          <w:b/>
          <w:i w:val="false"/>
          <w:color w:val="004347"/>
          <w:sz w:val="22"/>
        </w:rPr>
        <w:t>程序化语音指令播报</w:t>
      </w:r>
      <w:r>
        <w:rPr>
          <w:rFonts w:ascii="宋体" w:hAnsi="Times New Roman" w:eastAsia="宋体"/>
          <w:b w:val="false"/>
          <w:i w:val="false"/>
          <w:color w:val="000000"/>
          <w:sz w:val="22"/>
        </w:rPr>
        <w:t>和执行状态确认（如“AI视频已确认，接地刀合位准确”）。</w:t>
      </w:r>
    </w:p>
    <w:bookmarkEnd w:id="49"/>
    <w:bookmarkStart w:name="u6ac3c5f7" w:id="50"/>
    <w:p>
      <w:pPr>
        <w:numPr>
          <w:ilvl w:val="0"/>
          <w:numId w:val="5"/>
        </w:numPr>
        <w:spacing w:after="50" w:line="360" w:lineRule="auto" w:beforeLines="100"/>
        <w:ind w:left="360"/>
        <w:jc w:val="left"/>
      </w:pPr>
      <w:r>
        <w:rPr>
          <w:rFonts w:ascii="宋体" w:hAnsi="Times New Roman" w:eastAsia="宋体"/>
          <w:b/>
          <w:i w:val="false"/>
          <w:color w:val="004347"/>
          <w:sz w:val="22"/>
        </w:rPr>
        <w:t>智能预警：</w:t>
      </w:r>
      <w:r>
        <w:rPr>
          <w:rFonts w:ascii="宋体" w:hAnsi="Times New Roman" w:eastAsia="宋体"/>
          <w:b w:val="false"/>
          <w:i w:val="false"/>
          <w:color w:val="004347"/>
          <w:sz w:val="22"/>
        </w:rPr>
        <w:t xml:space="preserve"> </w:t>
      </w:r>
      <w:r>
        <w:rPr>
          <w:rFonts w:ascii="宋体" w:hAnsi="Times New Roman" w:eastAsia="宋体"/>
          <w:b w:val="false"/>
          <w:i w:val="false"/>
          <w:color w:val="000000"/>
          <w:sz w:val="22"/>
        </w:rPr>
        <w:t>当专家系统通过波形分析识别出机构卡涩、线圈电流异常等早期故障征兆时，会立即发出</w:t>
      </w:r>
      <w:r>
        <w:rPr>
          <w:rFonts w:ascii="宋体" w:hAnsi="Times New Roman" w:eastAsia="宋体"/>
          <w:b/>
          <w:i w:val="false"/>
          <w:color w:val="004347"/>
          <w:sz w:val="22"/>
        </w:rPr>
        <w:t>语音告警并告知原因</w:t>
      </w:r>
      <w:r>
        <w:rPr>
          <w:rFonts w:ascii="宋体" w:hAnsi="Times New Roman" w:eastAsia="宋体"/>
          <w:b w:val="false"/>
          <w:i w:val="false"/>
          <w:color w:val="000000"/>
          <w:sz w:val="22"/>
        </w:rPr>
        <w:t>，辅助运维人员进行科学决策。</w:t>
      </w:r>
    </w:p>
    <w:bookmarkEnd w:id="50"/>
    <w:bookmarkStart w:name="u806e41a1" w:id="51"/>
    <w:p>
      <w:pPr>
        <w:numPr>
          <w:ilvl w:val="0"/>
          <w:numId w:val="5"/>
        </w:numPr>
        <w:spacing w:after="50" w:line="360" w:lineRule="auto" w:beforeLines="100"/>
        <w:ind w:left="360"/>
        <w:jc w:val="left"/>
      </w:pPr>
      <w:r>
        <w:rPr>
          <w:rFonts w:ascii="宋体" w:hAnsi="Times New Roman" w:eastAsia="宋体"/>
          <w:b/>
          <w:i w:val="false"/>
          <w:color w:val="004347"/>
          <w:sz w:val="22"/>
        </w:rPr>
        <w:t>数字化运维：</w:t>
      </w:r>
      <w:r>
        <w:rPr>
          <w:rFonts w:ascii="宋体" w:hAnsi="Times New Roman" w:eastAsia="宋体"/>
          <w:b w:val="false"/>
          <w:i w:val="false"/>
          <w:color w:val="000000"/>
          <w:sz w:val="22"/>
        </w:rPr>
        <w:t xml:space="preserve"> 所有的操作结果、历史数据及视频轨迹均会同步至</w:t>
      </w:r>
      <w:r>
        <w:rPr>
          <w:rFonts w:ascii="宋体" w:hAnsi="Times New Roman" w:eastAsia="宋体"/>
          <w:b/>
          <w:i w:val="false"/>
          <w:color w:val="004347"/>
          <w:sz w:val="22"/>
        </w:rPr>
        <w:t>远程Web平台、手机App或小程序</w:t>
      </w:r>
      <w:r>
        <w:rPr>
          <w:rFonts w:ascii="宋体" w:hAnsi="Times New Roman" w:eastAsia="宋体"/>
          <w:b w:val="false"/>
          <w:i w:val="false"/>
          <w:color w:val="000000"/>
          <w:sz w:val="22"/>
        </w:rPr>
        <w:t>，支持随时随地的告警推送与状态查询。</w:t>
      </w:r>
    </w:p>
    <w:bookmarkEnd w:id="51"/>
    <w:bookmarkStart w:name="u2748b9ec" w:id="52"/>
    <w:p>
      <w:pPr>
        <w:spacing w:after="50" w:line="360" w:lineRule="auto" w:beforeLines="100"/>
        <w:ind w:left="0"/>
        <w:jc w:val="left"/>
      </w:pPr>
      <w:bookmarkStart w:name="WLH1J" w:id="53"/>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7576800" cy="3937024"/>
                    </a:xfrm>
                    <a:prstGeom prst="rect">
                      <a:avLst/>
                    </a:prstGeom>
                  </pic:spPr>
                </pic:pic>
              </a:graphicData>
            </a:graphic>
          </wp:inline>
        </w:drawing>
      </w:r>
      <w:bookmarkEnd w:id="53"/>
    </w:p>
    <w:bookmarkEnd w:id="52"/>
    <w:bookmarkStart w:name="2ab5ffb2420d35ea6b8026203a6f1e99" w:id="54"/>
    <w:p>
      <w:pPr>
        <w:spacing w:after="50" w:line="360" w:lineRule="auto" w:beforeLines="100"/>
        <w:ind w:left="0"/>
        <w:jc w:val="left"/>
      </w:pPr>
      <w:r>
        <w:rPr>
          <w:rFonts w:ascii="宋体" w:hAnsi="Times New Roman" w:eastAsia="宋体"/>
          <w:b w:val="false"/>
          <w:i w:val="false"/>
          <w:color w:val="000000"/>
          <w:sz w:val="22"/>
        </w:rPr>
        <w:t>典型规格与智能化配置参考</w:t>
      </w:r>
    </w:p>
    <w:bookmarkEnd w:id="54"/>
    <w:bookmarkStart w:name="afe969874db6f0fd506b9acffb89786b" w:id="55"/>
    <w:p>
      <w:pPr>
        <w:spacing w:after="50" w:line="360" w:lineRule="auto" w:beforeLines="100"/>
        <w:ind w:left="0"/>
        <w:jc w:val="left"/>
      </w:pPr>
      <w:r>
        <w:rPr>
          <w:rFonts w:ascii="宋体" w:hAnsi="Times New Roman" w:eastAsia="宋体"/>
          <w:b w:val="false"/>
          <w:i w:val="false"/>
          <w:color w:val="000000"/>
          <w:sz w:val="22"/>
        </w:rPr>
        <w:t>针对</w:t>
      </w:r>
      <w:r>
        <w:rPr>
          <w:rFonts w:ascii="宋体" w:hAnsi="Times New Roman" w:eastAsia="宋体"/>
          <w:b/>
          <w:i w:val="false"/>
          <w:color w:val="004347"/>
          <w:sz w:val="22"/>
        </w:rPr>
        <w:t>GKG-1250/6</w:t>
      </w:r>
      <w:r>
        <w:rPr>
          <w:rFonts w:ascii="宋体" w:hAnsi="Times New Roman" w:eastAsia="宋体"/>
          <w:b w:val="false"/>
          <w:i w:val="false"/>
          <w:color w:val="004347"/>
          <w:sz w:val="22"/>
        </w:rPr>
        <w:t>及</w:t>
      </w:r>
      <w:r>
        <w:rPr>
          <w:rFonts w:ascii="宋体" w:hAnsi="Times New Roman" w:eastAsia="宋体"/>
          <w:b/>
          <w:i w:val="false"/>
          <w:color w:val="004347"/>
          <w:sz w:val="22"/>
        </w:rPr>
        <w:t>GKG-630/6</w:t>
      </w:r>
      <w:r>
        <w:rPr>
          <w:rFonts w:ascii="宋体" w:hAnsi="Times New Roman" w:eastAsia="宋体"/>
          <w:b w:val="false"/>
          <w:i w:val="false"/>
          <w:color w:val="000000"/>
          <w:sz w:val="22"/>
        </w:rPr>
        <w:t>等主流型号开关柜，数字化升级包含以下标准模块：</w:t>
      </w:r>
    </w:p>
    <w:bookmarkEnd w:id="55"/>
    <w:bookmarkStart w:name="49494a177bafc05ec6ebf263e6fd22bd" w:id="56"/>
    <w:p>
      <w:pPr>
        <w:numPr>
          <w:ilvl w:val="0"/>
          <w:numId w:val="6"/>
        </w:numPr>
        <w:spacing w:after="50" w:line="360" w:lineRule="auto" w:beforeLines="100"/>
        <w:ind w:left="360"/>
        <w:jc w:val="left"/>
      </w:pPr>
      <w:r>
        <w:rPr>
          <w:rFonts w:ascii="宋体" w:hAnsi="Times New Roman" w:eastAsia="宋体"/>
          <w:b/>
          <w:i w:val="false"/>
          <w:color w:val="004347"/>
          <w:sz w:val="22"/>
        </w:rPr>
        <w:t>交互终端：</w:t>
      </w:r>
      <w:r>
        <w:rPr>
          <w:rFonts w:ascii="宋体" w:hAnsi="Times New Roman" w:eastAsia="宋体"/>
          <w:b w:val="false"/>
          <w:i w:val="false"/>
          <w:color w:val="004347"/>
          <w:sz w:val="22"/>
        </w:rPr>
        <w:t xml:space="preserve"> </w:t>
      </w:r>
      <w:r>
        <w:rPr>
          <w:rFonts w:ascii="宋体" w:hAnsi="Times New Roman" w:eastAsia="宋体"/>
          <w:b w:val="false"/>
          <w:i w:val="false"/>
          <w:color w:val="000000"/>
          <w:sz w:val="22"/>
        </w:rPr>
        <w:t>配备10寸彩色彩色高清触摸屏（HMI），集成电子操作票、历史数据分析与故障溯忆功能。</w:t>
      </w:r>
    </w:p>
    <w:bookmarkEnd w:id="56"/>
    <w:bookmarkStart w:name="55f71dbe3500b3eaf7819c0c37994be3" w:id="57"/>
    <w:p>
      <w:pPr>
        <w:numPr>
          <w:ilvl w:val="0"/>
          <w:numId w:val="6"/>
        </w:numPr>
        <w:spacing w:after="50" w:line="360" w:lineRule="auto" w:beforeLines="100"/>
        <w:ind w:left="360"/>
        <w:jc w:val="left"/>
      </w:pPr>
      <w:r>
        <w:rPr>
          <w:rFonts w:ascii="宋体" w:hAnsi="Times New Roman" w:eastAsia="宋体"/>
          <w:b/>
          <w:i w:val="false"/>
          <w:color w:val="004347"/>
          <w:sz w:val="22"/>
        </w:rPr>
        <w:t>深度感知模块：</w:t>
      </w:r>
      <w:r>
        <w:rPr>
          <w:rFonts w:ascii="宋体" w:hAnsi="Times New Roman" w:eastAsia="宋体"/>
          <w:b w:val="false"/>
          <w:i w:val="false"/>
          <w:color w:val="000000"/>
          <w:sz w:val="22"/>
        </w:rPr>
        <w:t xml:space="preserve"> 集成</w:t>
      </w:r>
      <w:r>
        <w:rPr>
          <w:rFonts w:ascii="宋体" w:hAnsi="Times New Roman" w:eastAsia="宋体"/>
          <w:b/>
          <w:i w:val="false"/>
          <w:color w:val="004347"/>
          <w:sz w:val="22"/>
        </w:rPr>
        <w:t>弧光保护</w:t>
      </w:r>
      <w:r>
        <w:rPr>
          <w:rFonts w:ascii="宋体" w:hAnsi="Times New Roman" w:eastAsia="宋体"/>
          <w:b w:val="false"/>
          <w:i w:val="false"/>
          <w:color w:val="000000"/>
          <w:sz w:val="22"/>
        </w:rPr>
        <w:t>、无线局放监测及触头嵌入式测温。</w:t>
      </w:r>
    </w:p>
    <w:bookmarkEnd w:id="57"/>
    <w:bookmarkStart w:name="cf49ad7a01c1f6abbc6ba6e5cb989925" w:id="58"/>
    <w:p>
      <w:pPr>
        <w:numPr>
          <w:ilvl w:val="0"/>
          <w:numId w:val="6"/>
        </w:numPr>
        <w:spacing w:after="50" w:line="360" w:lineRule="auto" w:beforeLines="100"/>
        <w:ind w:left="360"/>
        <w:jc w:val="left"/>
      </w:pPr>
      <w:r>
        <w:rPr>
          <w:rFonts w:ascii="宋体" w:hAnsi="Times New Roman" w:eastAsia="宋体"/>
          <w:b/>
          <w:i w:val="false"/>
          <w:color w:val="004347"/>
          <w:sz w:val="22"/>
        </w:rPr>
        <w:t>控制中枢：</w:t>
      </w:r>
      <w:r>
        <w:rPr>
          <w:rFonts w:ascii="宋体" w:hAnsi="Times New Roman" w:eastAsia="宋体"/>
          <w:b w:val="false"/>
          <w:i w:val="false"/>
          <w:color w:val="000000"/>
          <w:sz w:val="22"/>
        </w:rPr>
        <w:t xml:space="preserve"> 工业级高性能PLC控制系统，支持Modbus TCP/IEC 61850等国际标准协议，实现与全厂监控系统的深度集成。</w:t>
      </w:r>
    </w:p>
    <w:bookmarkEnd w:id="58"/>
    <w:bookmarkStart w:name="u4ca96271" w:id="59"/>
    <w:p>
      <w:pPr>
        <w:spacing w:after="50" w:line="360" w:lineRule="auto" w:beforeLines="100"/>
        <w:ind w:left="0"/>
        <w:jc w:val="left"/>
      </w:pPr>
      <w:bookmarkStart w:name="uf1b4a8d0" w:id="60"/>
      <w:r>
        <w:rPr>
          <w:rFonts w:eastAsia="宋体" w:ascii="宋体"/>
        </w:rPr>
        <w:drawing>
          <wp:inline distT="0" distB="0" distL="0" distR="0">
            <wp:extent cx="5842000" cy="309040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4653200" cy="23621437"/>
                    </a:xfrm>
                    <a:prstGeom prst="rect">
                      <a:avLst/>
                    </a:prstGeom>
                  </pic:spPr>
                </pic:pic>
              </a:graphicData>
            </a:graphic>
          </wp:inline>
        </w:drawing>
      </w:r>
      <w:bookmarkEnd w:id="60"/>
    </w:p>
    <w:bookmarkEnd w:id="59"/>
    <w:bookmarkStart w:name="3R306" w:id="61"/>
    <w:p>
      <w:pPr>
        <w:pStyle w:val="Heading3"/>
        <w:spacing w:after="50" w:line="360" w:lineRule="auto" w:beforeLines="100"/>
        <w:ind w:left="0"/>
        <w:jc w:val="left"/>
      </w:pPr>
      <w:r>
        <w:rPr>
          <w:rFonts w:ascii="宋体" w:hAnsi="Times New Roman" w:eastAsia="宋体"/>
          <w:color w:val="004347"/>
        </w:rPr>
        <w:t>长期实战价值</w:t>
      </w:r>
    </w:p>
    <w:bookmarkEnd w:id="61"/>
    <w:bookmarkStart w:name="2fd2cf9b10dd1de544e29850946a4586" w:id="62"/>
    <w:p>
      <w:pPr>
        <w:spacing w:after="50" w:line="360" w:lineRule="auto" w:beforeLines="100"/>
        <w:ind w:left="0"/>
        <w:jc w:val="left"/>
      </w:pPr>
      <w:r>
        <w:rPr>
          <w:rFonts w:ascii="宋体" w:hAnsi="Times New Roman" w:eastAsia="宋体"/>
          <w:b w:val="false"/>
          <w:i w:val="false"/>
          <w:color w:val="000000"/>
          <w:sz w:val="22"/>
        </w:rPr>
        <w:t>数字化升级不仅是技术的更迭，更是企业核心竞争力的重塑。通过“一键顺控”，原本繁琐的现场操作从小时级降至秒级；“陪伴式服务”与持续的技术迭代确保了资产全生命周期的价值最大化，有效降低了企业的综合运维成本。</w:t>
      </w:r>
    </w:p>
    <w:bookmarkEnd w:id="62"/>
    <w:bookmarkStart w:name="u7486d0e9" w:id="63"/>
    <w:p>
      <w:pPr>
        <w:spacing w:after="50" w:line="360" w:lineRule="auto" w:beforeLines="100"/>
        <w:ind w:left="0"/>
        <w:jc w:val="left"/>
      </w:pPr>
      <w:bookmarkStart w:name="u3b14de64" w:id="64"/>
      <w:r>
        <w:rPr>
          <w:rFonts w:eastAsia="宋体" w:ascii="宋体"/>
        </w:rPr>
        <w:drawing>
          <wp:inline distT="0" distB="0" distL="0" distR="0">
            <wp:extent cx="5842000" cy="3259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4653200" cy="24916374"/>
                    </a:xfrm>
                    <a:prstGeom prst="rect">
                      <a:avLst/>
                    </a:prstGeom>
                  </pic:spPr>
                </pic:pic>
              </a:graphicData>
            </a:graphic>
          </wp:inline>
        </w:drawing>
      </w:r>
      <w:bookmarkEnd w:id="64"/>
    </w:p>
    <w:bookmarkEnd w:id="63"/>
    <w:bookmarkStart w:name="u11740f74" w:id="65"/>
    <w:p>
      <w:pPr>
        <w:spacing w:after="50" w:line="360" w:lineRule="auto" w:beforeLines="100"/>
        <w:ind w:left="0"/>
        <w:jc w:val="left"/>
      </w:pPr>
      <w:bookmarkStart w:name="kuXWS" w:id="66"/>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7576800" cy="3937024"/>
                    </a:xfrm>
                    <a:prstGeom prst="rect">
                      <a:avLst/>
                    </a:prstGeom>
                  </pic:spPr>
                </pic:pic>
              </a:graphicData>
            </a:graphic>
          </wp:inline>
        </w:drawing>
      </w:r>
      <w:bookmarkEnd w:id="66"/>
    </w:p>
    <w:bookmarkEnd w:id="65"/>
    <w:bookmarkStart w:name="2869912999d500c71ae9b173aa0a38a1" w:id="67"/>
    <w:p>
      <w:pPr>
        <w:spacing w:after="50" w:line="360" w:lineRule="auto" w:beforeLines="100"/>
        <w:ind w:left="0"/>
        <w:jc w:val="left"/>
      </w:pPr>
      <w:r>
        <w:rPr>
          <w:rFonts w:ascii="宋体" w:hAnsi="Times New Roman" w:eastAsia="宋体"/>
          <w:b w:val="false"/>
          <w:i w:val="false"/>
          <w:color w:val="000000"/>
          <w:sz w:val="22"/>
        </w:rPr>
        <w:t>作为“</w:t>
      </w:r>
      <w:r>
        <w:rPr>
          <w:rFonts w:ascii="宋体" w:hAnsi="Times New Roman" w:eastAsia="宋体"/>
          <w:b/>
          <w:i w:val="false"/>
          <w:color w:val="004347"/>
          <w:sz w:val="22"/>
        </w:rPr>
        <w:t>产学研用”</w:t>
      </w:r>
      <w:r>
        <w:rPr>
          <w:rFonts w:ascii="宋体" w:hAnsi="Times New Roman" w:eastAsia="宋体"/>
          <w:b w:val="false"/>
          <w:i w:val="false"/>
          <w:color w:val="000000"/>
          <w:sz w:val="22"/>
        </w:rPr>
        <w:t>深度融合的数字化转型推动者，杭州轨物科技有限公司始终致力于聚焦物联网与人工智能的创新应用，服务制造业的智能化升级。我们拥有超过15年的行业深耕经验，已服务超200家，累计产生的经济效益超百亿元。</w:t>
      </w:r>
    </w:p>
    <w:bookmarkEnd w:id="67"/>
    <w:bookmarkStart w:name="u9804e744" w:id="68"/>
    <w:p>
      <w:pPr>
        <w:spacing w:after="50" w:line="360" w:lineRule="auto" w:beforeLines="100"/>
        <w:ind w:left="0"/>
        <w:jc w:val="left"/>
      </w:pPr>
      <w:bookmarkStart w:name="u2bd2e236" w:id="69"/>
      <w:r>
        <w:rPr>
          <w:rFonts w:eastAsia="宋体" w:ascii="宋体"/>
        </w:rPr>
        <w:drawing>
          <wp:inline distT="0" distB="0" distL="0" distR="0">
            <wp:extent cx="5842000" cy="183432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2402800" cy="7034228"/>
                    </a:xfrm>
                    <a:prstGeom prst="rect">
                      <a:avLst/>
                    </a:prstGeom>
                  </pic:spPr>
                </pic:pic>
              </a:graphicData>
            </a:graphic>
          </wp:inline>
        </w:drawing>
      </w:r>
      <w:bookmarkEnd w:id="69"/>
    </w:p>
    <w:bookmarkEnd w:id="68"/>
    <w:bookmarkStart w:name="e0b0bdb5b4c5362e465c8d3678f41394" w:id="70"/>
    <w:p>
      <w:pPr>
        <w:spacing w:after="50" w:line="360" w:lineRule="auto" w:beforeLines="100"/>
        <w:ind w:left="0"/>
        <w:jc w:val="left"/>
      </w:pPr>
      <w:bookmarkStart w:name="sG7v2" w:id="71"/>
      <w:r>
        <w:rPr>
          <w:rFonts w:eastAsia="宋体" w:ascii="宋体"/>
        </w:rPr>
        <w:drawing>
          <wp:inline distT="0" distB="0" distL="0" distR="0">
            <wp:extent cx="5842000" cy="162407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95927337" cy="26667706"/>
                    </a:xfrm>
                    <a:prstGeom prst="rect">
                      <a:avLst/>
                    </a:prstGeom>
                  </pic:spPr>
                </pic:pic>
              </a:graphicData>
            </a:graphic>
          </wp:inline>
        </w:drawing>
      </w:r>
      <w:bookmarkEnd w:id="71"/>
    </w:p>
    <w:bookmarkEnd w:id="70"/>
    <w:bookmarkStart w:name="u31a12f69" w:id="72"/>
    <w:p>
      <w:pPr>
        <w:spacing w:after="50" w:line="360" w:lineRule="auto" w:beforeLines="100"/>
        <w:ind w:left="0"/>
        <w:jc w:val="left"/>
      </w:pPr>
      <w:bookmarkStart w:name="PdfG4" w:id="73"/>
      <w:r>
        <w:rPr>
          <w:rFonts w:eastAsia="宋体" w:ascii="宋体"/>
        </w:rPr>
        <w:drawing>
          <wp:inline distT="0" distB="0" distL="0" distR="0">
            <wp:extent cx="5841999" cy="329487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4207067" cy="8012748"/>
                    </a:xfrm>
                    <a:prstGeom prst="rect">
                      <a:avLst/>
                    </a:prstGeom>
                  </pic:spPr>
                </pic:pic>
              </a:graphicData>
            </a:graphic>
          </wp:inline>
        </w:drawing>
      </w:r>
      <w:bookmarkEnd w:id="73"/>
    </w:p>
    <w:bookmarkEnd w:id="72"/>
    <w:bookmarkStart w:name="ue1c7c5b5" w:id="74"/>
    <w:p>
      <w:pPr>
        <w:spacing w:after="50" w:line="360" w:lineRule="auto" w:beforeLines="100"/>
        <w:ind w:left="0"/>
        <w:jc w:val="left"/>
      </w:pPr>
      <w:bookmarkStart w:name="kCKM3" w:id="75"/>
      <w:r>
        <w:rPr>
          <w:rFonts w:eastAsia="宋体" w:ascii="宋体"/>
        </w:rPr>
        <w:drawing>
          <wp:inline distT="0" distB="0" distL="0" distR="0">
            <wp:extent cx="5842000" cy="472607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8694400" cy="15123446"/>
                    </a:xfrm>
                    <a:prstGeom prst="rect">
                      <a:avLst/>
                    </a:prstGeom>
                  </pic:spPr>
                </pic:pic>
              </a:graphicData>
            </a:graphic>
          </wp:inline>
        </w:drawing>
      </w:r>
      <w:bookmarkEnd w:id="75"/>
    </w:p>
    <w:bookmarkEnd w:id="74"/>
    <w:bookmarkStart w:name="u53381b51" w:id="76"/>
    <w:p>
      <w:pPr>
        <w:spacing w:after="50" w:line="360" w:lineRule="auto" w:beforeLines="100"/>
        <w:ind w:left="0"/>
        <w:jc w:val="left"/>
      </w:pPr>
      <w:bookmarkStart w:name="uMuPP" w:id="77"/>
      <w:r>
        <w:rPr>
          <w:rFonts w:eastAsia="宋体" w:ascii="宋体"/>
        </w:rPr>
        <w:drawing>
          <wp:inline distT="0" distB="0" distL="0" distR="0">
            <wp:extent cx="5842000" cy="4848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2487466" cy="1866421"/>
                    </a:xfrm>
                    <a:prstGeom prst="rect">
                      <a:avLst/>
                    </a:prstGeom>
                  </pic:spPr>
                </pic:pic>
              </a:graphicData>
            </a:graphic>
          </wp:inline>
        </w:drawing>
      </w:r>
      <w:bookmarkEnd w:id="77"/>
    </w:p>
    <w:bookmarkEnd w:id="76"/>
    <w:bookmarkStart w:name="u0e0da81b" w:id="78"/>
    <w:p>
      <w:pPr>
        <w:spacing w:after="50" w:line="360" w:lineRule="auto" w:beforeLines="100"/>
        <w:ind w:left="0"/>
        <w:jc w:val="left"/>
      </w:pPr>
      <w:bookmarkStart w:name="u3d214ab2" w:id="79"/>
      <w:r>
        <w:rPr>
          <w:rFonts w:eastAsia="宋体" w:ascii="宋体"/>
        </w:rPr>
        <w:drawing>
          <wp:inline distT="0" distB="0" distL="0" distR="0">
            <wp:extent cx="5841999" cy="79448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2690666" cy="3085840"/>
                    </a:xfrm>
                    <a:prstGeom prst="rect">
                      <a:avLst/>
                    </a:prstGeom>
                  </pic:spPr>
                </pic:pic>
              </a:graphicData>
            </a:graphic>
          </wp:inline>
        </w:drawing>
      </w:r>
      <w:bookmarkEnd w:id="79"/>
      <w:bookmarkStart w:name="u3df9c90d" w:id="80"/>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3804800" cy="14419704"/>
                    </a:xfrm>
                    <a:prstGeom prst="rect">
                      <a:avLst/>
                    </a:prstGeom>
                  </pic:spPr>
                </pic:pic>
              </a:graphicData>
            </a:graphic>
          </wp:inline>
        </w:drawing>
      </w:r>
      <w:bookmarkEnd w:id="80"/>
      <w:bookmarkStart w:name="ude3ba829" w:id="81"/>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3804800" cy="14419704"/>
                    </a:xfrm>
                    <a:prstGeom prst="rect">
                      <a:avLst/>
                    </a:prstGeom>
                  </pic:spPr>
                </pic:pic>
              </a:graphicData>
            </a:graphic>
          </wp:inline>
        </w:drawing>
      </w:r>
      <w:bookmarkEnd w:id="81"/>
      <w:bookmarkStart w:name="vlt5v" w:id="82"/>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3804800" cy="14419704"/>
                    </a:xfrm>
                    <a:prstGeom prst="rect">
                      <a:avLst/>
                    </a:prstGeom>
                  </pic:spPr>
                </pic:pic>
              </a:graphicData>
            </a:graphic>
          </wp:inline>
        </w:drawing>
      </w:r>
      <w:bookmarkEnd w:id="82"/>
      <w:bookmarkStart w:name="u5942aad3" w:id="83"/>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3804800" cy="14419704"/>
                    </a:xfrm>
                    <a:prstGeom prst="rect">
                      <a:avLst/>
                    </a:prstGeom>
                  </pic:spPr>
                </pic:pic>
              </a:graphicData>
            </a:graphic>
          </wp:inline>
        </w:drawing>
      </w:r>
      <w:bookmarkEnd w:id="83"/>
    </w:p>
    <w:bookmarkEnd w:id="78"/>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decimal"/>
      <w:lvlText w:val="%1."/>
      <w:lvlJc w:val="left"/>
      <w:pPr>
        <w:ind w:left="960" w:hanging="360"/>
      </w:p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document_image_rId10.png" Type="http://schemas.openxmlformats.org/officeDocument/2006/relationships/image"/><Relationship Id="rId11" Target="media/document_image_rId11.png" Type="http://schemas.openxmlformats.org/officeDocument/2006/relationships/image"/><Relationship Id="rId12" Target="media/document_image_rId12.png" Type="http://schemas.openxmlformats.org/officeDocument/2006/relationships/image"/><Relationship Id="rId13" Target="media/document_image_rId13.png" Type="http://schemas.openxmlformats.org/officeDocument/2006/relationships/image"/><Relationship Id="rId14" Target="media/document_image_rId14.png" Type="http://schemas.openxmlformats.org/officeDocument/2006/relationships/image"/><Relationship Id="rId15" Target="media/document_image_rId15.png" Type="http://schemas.openxmlformats.org/officeDocument/2006/relationships/image"/><Relationship Id="rId16" Target="media/document_image_rId16.png" Type="http://schemas.openxmlformats.org/officeDocument/2006/relationships/image"/><Relationship Id="rId17" Target="media/document_image_rId17.png" Type="http://schemas.openxmlformats.org/officeDocument/2006/relationships/image"/><Relationship Id="rId18" Target="media/document_image_rId18.png" Type="http://schemas.openxmlformats.org/officeDocument/2006/relationships/image"/><Relationship Id="rId19" Target="media/document_image_rId19.png" Type="http://schemas.openxmlformats.org/officeDocument/2006/relationships/image"/><Relationship Id="rId2" Target="settings.xml" Type="http://schemas.openxmlformats.org/officeDocument/2006/relationships/settings"/><Relationship Id="rId20" Target="media/document_image_rId20.png" Type="http://schemas.openxmlformats.org/officeDocument/2006/relationships/image"/><Relationship Id="rId21" Target="media/document_image_rId21.png" Type="http://schemas.openxmlformats.org/officeDocument/2006/relationships/image"/><Relationship Id="rId22" Target="media/document_image_rId22.png" Type="http://schemas.openxmlformats.org/officeDocument/2006/relationships/image"/><Relationship Id="rId23" Target="media/document_image_rId23.png" Type="http://schemas.openxmlformats.org/officeDocument/2006/relationships/image"/><Relationship Id="rId24" Target="media/document_image_rId24.png" Type="http://schemas.openxmlformats.org/officeDocument/2006/relationships/image"/><Relationship Id="rId25" Target="media/document_image_rId25.png" Type="http://schemas.openxmlformats.org/officeDocument/2006/relationships/image"/><Relationship Id="rId3" Target="numbering.xml" Type="http://schemas.openxmlformats.org/officeDocument/2006/relationships/numbering"/><Relationship Id="rId4" Target="media/document_image_rId4.png" Type="http://schemas.openxmlformats.org/officeDocument/2006/relationships/image"/><Relationship Id="rId5" Target="media/document_image_rId5.png" Type="http://schemas.openxmlformats.org/officeDocument/2006/relationships/image"/><Relationship Id="rId6" Target="media/document_image_rId6.png" Type="http://schemas.openxmlformats.org/officeDocument/2006/relationships/image"/><Relationship Id="rId7" Target="media/document_image_rId7.png" Type="http://schemas.openxmlformats.org/officeDocument/2006/relationships/image"/><Relationship Id="rId8" Target="media/document_image_rId8.png" Type="http://schemas.openxmlformats.org/officeDocument/2006/relationships/image"/><Relationship Id="rId9" Target="media/document_image_rId9.png" Type="http://schemas.openxmlformats.org/officeDocument/2006/relationships/image"/></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