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技术白皮书：智慧机场配电系统：一键顺控智能化升级白皮书</w:t>
      </w:r>
    </w:p>
    <w:p>
      <w:pPr>
        <w:pStyle w:val="Heading1"/>
        <w:spacing w:after="50" w:line="360" w:lineRule="auto" w:beforeLines="100"/>
        <w:ind w:left="0"/>
        <w:jc w:val="left"/>
      </w:pPr>
      <w:bookmarkStart w:name="ZLTov" w:id="0"/>
      <w:bookmarkStart w:name="QsLME" w:id="1"/>
      <w:r>
        <w:rPr>
          <w:rFonts w:eastAsia="宋体" w:ascii="宋体"/>
        </w:rPr>
        <w:drawing>
          <wp:inline distT="0" distB="0" distL="0" distR="0">
            <wp:extent cx="5842000" cy="37972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87466" cy="14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a83aaf1a" w:id="2"/>
    <w:p>
      <w:pPr>
        <w:spacing w:after="50" w:line="360" w:lineRule="auto" w:beforeLines="100"/>
        <w:ind w:left="0"/>
        <w:jc w:val="left"/>
      </w:pPr>
      <w:bookmarkStart w:name="THSxJ" w:id="3"/>
      <w:r>
        <w:rPr>
          <w:rFonts w:eastAsia="宋体" w:ascii="宋体"/>
        </w:rPr>
        <w:drawing>
          <wp:inline distT="0" distB="0" distL="0" distR="0">
            <wp:extent cx="5842000" cy="782784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0" cy="1946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bookmarkEnd w:id="2"/>
    <w:bookmarkStart w:name="u8f54521f" w:id="4"/>
    <w:p>
      <w:pPr>
        <w:spacing w:after="50" w:line="360" w:lineRule="auto" w:beforeLines="100"/>
        <w:ind w:left="0"/>
        <w:jc w:val="left"/>
      </w:pPr>
      <w:bookmarkStart w:name="u1b2d9d8c" w:id="5"/>
      <w:r>
        <w:rPr>
          <w:rFonts w:eastAsia="宋体" w:ascii="宋体"/>
        </w:rPr>
        <w:drawing>
          <wp:inline distT="0" distB="0" distL="0" distR="0">
            <wp:extent cx="5841999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196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bookmarkEnd w:id="4"/>
    <w:bookmarkStart w:name="cb7a9af8f889ce1c8a49f9397713f098" w:id="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在民航局积极推动“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平安、绿色、智慧、人文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为核心的“四型机场”建设背景下，电力基础设施的数字化转型已不再是可选的补充，而是保障民航枢纽高效运转的必然支撑。机场电力系统直接关联到地面电源系统（GPU）的可供性以及整体航班的周转效率。在复杂的配电运行环境中，传统的“唱票-复诵-现场检查”模式在保障高频次倒闸操作时，显现出极大的局限性：不仅由于人工操作流程冗长导致响应滞后，且在高压力运维环境下极易因人因失误触发安全事故。</w:t>
      </w:r>
    </w:p>
    <w:bookmarkEnd w:id="6"/>
    <w:bookmarkStart w:name="uef92605b" w:id="7"/>
    <w:p>
      <w:pPr>
        <w:spacing w:after="50" w:line="360" w:lineRule="auto" w:beforeLines="100"/>
        <w:ind w:left="0"/>
        <w:jc w:val="left"/>
      </w:pPr>
      <w:bookmarkStart w:name="uff884f19" w:id="8"/>
      <w:r>
        <w:rPr>
          <w:rFonts w:eastAsia="宋体" w:ascii="宋体"/>
        </w:rPr>
        <w:drawing>
          <wp:inline distT="0" distB="0" distL="0" distR="0">
            <wp:extent cx="5841999" cy="231926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318134" cy="886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bookmarkEnd w:id="7"/>
    <w:bookmarkStart w:name="de15eac1854c6667e513f93b4ee912f9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于大型机场而言，停电不仅意味着建筑物的黑暗，更意味着整个航队的“停摆”。一键顺控技术的引入，标志着配电系统从“人工经验驱动”向“数据自动化驱动”的实质性跨越。通过将复杂的物理电力逻辑转化为确定性的程序化控制，该技术在消除人因失误的同时，重塑了机场运行的安全边界。</w:t>
      </w:r>
    </w:p>
    <w:bookmarkEnd w:id="9"/>
    <w:bookmarkStart w:name="ue5a0da7f" w:id="10"/>
    <w:p>
      <w:pPr>
        <w:spacing w:after="50" w:line="360" w:lineRule="auto" w:beforeLines="100"/>
        <w:ind w:left="0"/>
        <w:jc w:val="left"/>
      </w:pPr>
      <w:bookmarkStart w:name="NTHxR" w:id="11"/>
      <w:r>
        <w:rPr>
          <w:rFonts w:eastAsia="宋体" w:ascii="宋体"/>
        </w:rPr>
        <w:drawing>
          <wp:inline distT="0" distB="0" distL="0" distR="0">
            <wp:extent cx="5841999" cy="13786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206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"/>
    </w:p>
    <w:bookmarkEnd w:id="10"/>
    <w:bookmarkStart w:name="hzEo0" w:id="1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2.1 概念重定义</w:t>
      </w:r>
    </w:p>
    <w:bookmarkEnd w:id="12"/>
    <w:bookmarkStart w:name="3479feccc5f2818283493d6ab5f4eca6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“一键顺控”不仅是操作票的程序化执行，更是一种</w:t>
      </w:r>
      <w:r>
        <w:rPr>
          <w:rFonts w:ascii="宋体" w:hAnsi="Times New Roman" w:eastAsia="宋体"/>
          <w:b/>
          <w:i w:val="false"/>
          <w:color w:val="004347"/>
          <w:sz w:val="22"/>
        </w:rPr>
        <w:t>智能控制模式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。其核心架构基于任务模块化、状态自适应判别及数字化防误联锁校核。系统通过预设逻辑自动调配分合闸、刀闸及手车位置，实现从指令下达到状态闭锁确认的全流程自动化。</w:t>
      </w:r>
    </w:p>
    <w:bookmarkEnd w:id="13"/>
    <w:bookmarkStart w:name="th8Ot" w:id="1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2.2 四种核心运行状态定义</w:t>
      </w:r>
    </w:p>
    <w:bookmarkEnd w:id="14"/>
    <w:bookmarkStart w:name="dae6ac36b1735226b0843c0857d8f9fd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系统依据断路器、底盘车及接地刀的实时物理位置进行逻辑判定。各组件位置必须满足设定条件，并经过持续 5 秒的状态充电时间（Tcd）校核，方可确认状态转换完成。</w:t>
      </w:r>
    </w:p>
    <w:bookmarkEnd w:id="15"/>
    <w:bookmarkStart w:name="uc0163fbf" w:id="16"/>
    <w:p>
      <w:pPr>
        <w:spacing w:after="50" w:line="360" w:lineRule="auto" w:beforeLines="100"/>
        <w:ind w:left="0"/>
        <w:jc w:val="left"/>
      </w:pPr>
      <w:bookmarkStart w:name="uab85dae2" w:id="17"/>
      <w:r>
        <w:rPr>
          <w:rFonts w:eastAsia="宋体" w:ascii="宋体"/>
        </w:rPr>
        <w:drawing>
          <wp:inline distT="0" distB="0" distL="0" distR="0">
            <wp:extent cx="5841999" cy="2135353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60534" cy="217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bookmarkEnd w:id="16"/>
    <w:bookmarkStart w:name="TWirb" w:id="18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2.3 标准逻辑切换指令顺序</w:t>
      </w:r>
    </w:p>
    <w:bookmarkEnd w:id="18"/>
    <w:bookmarkStart w:name="7d837f3f6803da39bcacbccfc3589a75" w:id="1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系统严格遵循确定性控制逻辑，确保操作序列的单向不可逆性：</w:t>
      </w:r>
    </w:p>
    <w:bookmarkEnd w:id="19"/>
    <w:bookmarkStart w:name="c74164b11c35abc8f649316e9bc0118c" w:id="20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转运行操作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下达指令 → 拉开接地刀 → 摇进底盘车至工作位置 → 合断路器。</w:t>
      </w:r>
    </w:p>
    <w:bookmarkEnd w:id="20"/>
    <w:bookmarkStart w:name="78057d01f7d49346ea60c5636b3eb17b" w:id="21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转检修操作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下达指令 → 断开断路器 → 摇出底盘车至试验位置 → 合接地刀。</w:t>
      </w:r>
    </w:p>
    <w:bookmarkEnd w:id="21"/>
    <w:bookmarkStart w:name="ca4f5bd7f1919c6b0a8d6f14c9e74cf4" w:id="22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转冷备操作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下达指令 → 断开断路器 → 摇出底盘车至试验位置。</w:t>
      </w:r>
    </w:p>
    <w:bookmarkEnd w:id="22"/>
    <w:bookmarkStart w:name="e5312bb26a39741c9b6ebf339aa6d85b" w:id="23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转热备操作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：下达指令 → 断开断路器。</w:t>
      </w:r>
    </w:p>
    <w:bookmarkEnd w:id="23"/>
    <w:bookmarkStart w:name="bdd050a2df96a558dc36bd882f4fd0a7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战略意义：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这种“无缝切换”能力赋予了机场配电网高度的自适应性。系统能根据目标态自动补全中间逻辑步骤，在电力调配的极端时刻，以毫秒级的响应确保保障业务的连续性。</w:t>
      </w:r>
    </w:p>
    <w:bookmarkEnd w:id="24"/>
    <w:bookmarkStart w:name="ued29a6eb" w:id="25"/>
    <w:p>
      <w:pPr>
        <w:spacing w:after="50" w:line="360" w:lineRule="auto" w:beforeLines="100"/>
        <w:ind w:left="0"/>
        <w:jc w:val="left"/>
      </w:pPr>
      <w:bookmarkStart w:name="BwVRs" w:id="26"/>
      <w:r>
        <w:rPr>
          <w:rFonts w:eastAsia="宋体" w:ascii="宋体"/>
        </w:rPr>
        <w:drawing>
          <wp:inline distT="0" distB="0" distL="0" distR="0">
            <wp:extent cx="5841999" cy="134943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202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6"/>
    </w:p>
    <w:bookmarkEnd w:id="25"/>
    <w:bookmarkStart w:name="14a0ed08ecea8c58a6408ea0ef00ef9b" w:id="2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实现一键顺控的“确定性响应”，需要精密感知与高冗余执行硬件的协同。轨物科技构建了以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/>
          <w:i w:val="false"/>
          <w:color w:val="004347"/>
          <w:sz w:val="22"/>
        </w:rPr>
        <w:t>SR 系列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为核心的硬件底座：</w:t>
      </w:r>
    </w:p>
    <w:bookmarkEnd w:id="27"/>
    <w:bookmarkStart w:name="cf838e6c2d42c57c2f75be1c60e02b24" w:id="28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SR-IED 智能开关柜测控终端（核心大脑）：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作为控制逻辑的中枢节点，SR-IED 集成了高精度电气参数测量模块，并配置了极致的通讯扩展能力（8 个 RS485 接口与 8 个以太网口），可选配 61850 通讯协议。它是支撑站端海量开入开出量并发处理的关键。</w:t>
      </w:r>
    </w:p>
    <w:bookmarkEnd w:id="28"/>
    <w:bookmarkStart w:name="5d6a0cde8d2b6857f61b86ad5b785edd" w:id="29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Kgg-01 智能边缘网关（数字化桥梁）：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负责多维数据的异步汇聚与协议转化，向上对接站控中心，向下联动各功能单元，是实现边缘决策的关键链路。</w:t>
      </w:r>
    </w:p>
    <w:bookmarkEnd w:id="29"/>
    <w:bookmarkStart w:name="210332e66e7db8e7148f9a33b224a51b" w:id="30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SR-HMI 10 本地显示终端：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10 寸彩色触摸屏实现全景可视化监控，支持运维人员现场执行本地顺控指令及历史趋势分析。</w:t>
      </w:r>
    </w:p>
    <w:bookmarkEnd w:id="30"/>
    <w:bookmarkStart w:name="797dc7cfc034d63779564460ad4073ee" w:id="31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SR-MOTO 控制单元：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专为电动底盘车及接地刀研发，通过监测实时电流实现对三工位动作的精确控制，是指令执行的终端物理驱动。</w:t>
      </w:r>
    </w:p>
    <w:bookmarkEnd w:id="31"/>
    <w:bookmarkStart w:name="ea7421c3b8910e2f5e9b9d713d50c02c" w:id="32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SR-MECH 机械特性监测单元（精准感知）：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核心采用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/>
          <w:i w:val="false"/>
          <w:color w:val="004347"/>
          <w:sz w:val="22"/>
        </w:rPr>
        <w:t>3 个霍尔传感器与 1 个位移传感器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。通过监测分合闸波形、速度、开距及超程，实时分析机构疲劳度，为资产寿命管理提供量化依据。</w:t>
      </w:r>
    </w:p>
    <w:bookmarkEnd w:id="32"/>
    <w:bookmarkStart w:name="917dde5e11c65727dc45cb540a92a0c0" w:id="33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SR-2010S AI 视频监控：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核心价值在于建立“双辅助判据”。通过视觉感知算法对刀闸位置进行二次核实，确保电气信号与视觉影像的一致性闭锁。</w:t>
      </w:r>
    </w:p>
    <w:bookmarkEnd w:id="33"/>
    <w:bookmarkStart w:name="udf946323" w:id="34"/>
    <w:p>
      <w:pPr>
        <w:spacing w:after="50" w:line="360" w:lineRule="auto" w:beforeLines="100"/>
        <w:ind w:left="0"/>
        <w:jc w:val="left"/>
      </w:pPr>
      <w:bookmarkStart w:name="vYrmS" w:id="35"/>
      <w:r>
        <w:rPr>
          <w:rFonts w:eastAsia="宋体" w:ascii="宋体"/>
        </w:rPr>
        <w:drawing>
          <wp:inline distT="0" distB="0" distL="0" distR="0">
            <wp:extent cx="5841999" cy="137870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19066" cy="203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5"/>
    </w:p>
    <w:bookmarkEnd w:id="34"/>
    <w:bookmarkStart w:name="38c02428c9ac844ebb4c6517ebfa719e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本方案将传统机械“五防”升华为深度融合的数字化防御体系，充当了系统的“神经系统”：</w:t>
      </w:r>
    </w:p>
    <w:bookmarkEnd w:id="36"/>
    <w:bookmarkStart w:name="u27d8ff70" w:id="37"/>
    <w:p>
      <w:pPr>
        <w:spacing w:after="50" w:line="360" w:lineRule="auto" w:beforeLines="100"/>
        <w:ind w:left="0"/>
        <w:jc w:val="left"/>
      </w:pPr>
      <w:bookmarkStart w:name="u1c4cb5b4" w:id="38"/>
      <w:r>
        <w:rPr>
          <w:rFonts w:eastAsia="宋体" w:ascii="宋体"/>
        </w:rPr>
        <w:drawing>
          <wp:inline distT="0" distB="0" distL="0" distR="0">
            <wp:extent cx="5842000" cy="325385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433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8"/>
    </w:p>
    <w:bookmarkEnd w:id="37"/>
    <w:bookmarkStart w:name="d7ee97440984464630faaf39b70585a5" w:id="39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数字化防误联锁：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系统内嵌跨间隔电气联锁逻辑（如：母联合闸状态下不允许受电柜合闸）。在操作执行前，系统自动进行全网态势校核，一旦条件缺失，指令将被物理屏蔽。</w:t>
      </w:r>
    </w:p>
    <w:bookmarkEnd w:id="39"/>
    <w:bookmarkStart w:name="67008bd5d49767512a4a4ca988587e10" w:id="40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闭环电机保护机制：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SR-MOTO 控制单元具备软启、软停功能。若在底盘车摇进/摇出过程中识别到电机堵转，系统将执行</w:t>
      </w:r>
      <w:r>
        <w:rPr>
          <w:rFonts w:ascii="宋体" w:hAnsi="Times New Roman" w:eastAsia="宋体"/>
          <w:b/>
          <w:i w:val="false"/>
          <w:color w:val="004347"/>
          <w:sz w:val="22"/>
        </w:rPr>
        <w:t>自动反转逻辑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—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—控制电机反转将设备退回至初始安全位置，而非简单停止，从而最大限度避免机械机构损坏。</w:t>
      </w:r>
    </w:p>
    <w:bookmarkEnd w:id="40"/>
    <w:bookmarkStart w:name="546390e37a6353daeb5b9c6ab5bb1372" w:id="41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双校核闭锁系统：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系统强制要求“电信号+视频信号”双重确认。只有当辅助触点状态与 AI 视觉识别结果完全匹配时，才触发下一步骤，彻底杜绝了因传感器失灵导致的虚假反馈。</w:t>
      </w:r>
    </w:p>
    <w:bookmarkEnd w:id="41"/>
    <w:bookmarkStart w:name="2d26410940695a7320dca5644fcc8e97" w:id="42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超时与自适应异常处理：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每一项顺控流程均设有</w:t>
      </w:r>
      <w:r>
        <w:rPr>
          <w:rFonts w:ascii="宋体" w:hAnsi="Times New Roman" w:eastAsia="宋体"/>
          <w:b/>
          <w:i w:val="false"/>
          <w:color w:val="004347"/>
          <w:sz w:val="22"/>
        </w:rPr>
        <w:t>可配置的时间定值（超时保护）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。系统能够自适应不同役龄设备的动作特性，一旦执行超时，系统将立即安全终止并触发告警，确保态势可控。</w:t>
      </w:r>
    </w:p>
    <w:bookmarkEnd w:id="42"/>
    <w:bookmarkStart w:name="u79a2c626" w:id="43"/>
    <w:p>
      <w:pPr>
        <w:spacing w:after="50" w:line="360" w:lineRule="auto" w:beforeLines="100"/>
        <w:ind w:left="0"/>
        <w:jc w:val="left"/>
      </w:pPr>
      <w:bookmarkStart w:name="Xl3Qr" w:id="44"/>
      <w:r>
        <w:rPr>
          <w:rFonts w:eastAsia="宋体" w:ascii="宋体"/>
        </w:rPr>
        <w:drawing>
          <wp:inline distT="0" distB="0" distL="0" distR="0">
            <wp:extent cx="5841999" cy="137870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19066" cy="203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4"/>
    </w:p>
    <w:bookmarkEnd w:id="43"/>
    <w:bookmarkStart w:name="53f24674c260b28071da5b5fe3c1d8a0" w:id="4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通过一键顺控的智能化重构，机场配电系统的运维效能实现了量化飞跃：</w:t>
      </w:r>
    </w:p>
    <w:bookmarkEnd w:id="45"/>
    <w:bookmarkStart w:name="f68f7655c2a2a7b7a791d3cad00bcd76" w:id="46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响应效率提升：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操作准备与执行时间由“小时级”锐减至“分钟级”，整体操作时间缩短 </w:t>
      </w:r>
      <w:r>
        <w:rPr>
          <w:rFonts w:ascii="宋体" w:hAnsi="Times New Roman" w:eastAsia="宋体"/>
          <w:b/>
          <w:i w:val="false"/>
          <w:color w:val="000000"/>
          <w:sz w:val="22"/>
        </w:rPr>
        <w:t>70%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以上。</w:t>
      </w:r>
    </w:p>
    <w:bookmarkEnd w:id="46"/>
    <w:bookmarkStart w:name="5825b5bf8af4deba05cc1a6cf498d16c" w:id="47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关键启动指标：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在系统整体联调与复役场景下，</w:t>
      </w:r>
      <w:r>
        <w:rPr>
          <w:rFonts w:ascii="宋体" w:hAnsi="Times New Roman" w:eastAsia="宋体"/>
          <w:b/>
          <w:i w:val="false"/>
          <w:color w:val="004347"/>
          <w:sz w:val="22"/>
        </w:rPr>
        <w:t>启动耗时可缩短 10 小时以上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，这为机场在维护窗口期后的快速复航提供了核心竞争力。</w:t>
      </w:r>
    </w:p>
    <w:bookmarkEnd w:id="47"/>
    <w:bookmarkStart w:name="29a2f4545507a467f78177bd56221a70" w:id="48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运维模式变革：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适配机场集控站与远方运维模式，整体运维效率提升约 </w:t>
      </w:r>
      <w:r>
        <w:rPr>
          <w:rFonts w:ascii="宋体" w:hAnsi="Times New Roman" w:eastAsia="宋体"/>
          <w:b/>
          <w:i w:val="false"/>
          <w:color w:val="000000"/>
          <w:sz w:val="22"/>
        </w:rPr>
        <w:t>30%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48"/>
    <w:bookmarkStart w:name="11d9bb119601b4928c52f8c84d2a3514" w:id="49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资产全生命周期诊断：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利用 SR-MECH 的高精数据与专家诊断系统，实现从“故障维修”向“预测性维护”的转变，精准定位机械疲劳点，延长核心资产寿命。</w:t>
      </w:r>
    </w:p>
    <w:bookmarkEnd w:id="49"/>
    <w:bookmarkStart w:name="u072314c3" w:id="50"/>
    <w:p>
      <w:pPr>
        <w:spacing w:after="50" w:line="360" w:lineRule="auto" w:beforeLines="100"/>
        <w:ind w:left="0"/>
        <w:jc w:val="left"/>
      </w:pPr>
      <w:bookmarkStart w:name="u715b2ae1" w:id="51"/>
      <w:r>
        <w:rPr>
          <w:rFonts w:eastAsia="宋体" w:ascii="宋体"/>
        </w:rPr>
        <w:drawing>
          <wp:inline distT="0" distB="0" distL="0" distR="0">
            <wp:extent cx="5842000" cy="325982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335066" cy="1246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1"/>
    </w:p>
    <w:bookmarkEnd w:id="50"/>
    <w:bookmarkStart w:name="u09fe95ad" w:id="52"/>
    <w:p>
      <w:pPr>
        <w:spacing w:after="50" w:line="360" w:lineRule="auto" w:beforeLines="100"/>
        <w:ind w:left="0"/>
        <w:jc w:val="left"/>
      </w:pPr>
      <w:bookmarkStart w:name="us9fy" w:id="53"/>
      <w:r>
        <w:rPr>
          <w:rFonts w:eastAsia="宋体" w:ascii="宋体"/>
        </w:rPr>
        <w:drawing>
          <wp:inline distT="0" distB="0" distL="0" distR="0">
            <wp:extent cx="5841999" cy="137870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619066" cy="203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3"/>
    </w:p>
    <w:bookmarkEnd w:id="52"/>
    <w:bookmarkStart w:name="9613a5b304cc9ae41c4ec23c7487c5fb" w:id="5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轨物科技（Thingcom）深耕电力数字化领域 15 载，始终坚持“产学研用深度融合”。作为智慧运维一站式解决方案提供商，我们不只是在提供硬件，而是在通过 AI 算法与物联网架构的深度耦合，为民航业构建高弹性的电力安全屏障。</w:t>
      </w:r>
    </w:p>
    <w:bookmarkEnd w:id="54"/>
    <w:bookmarkStart w:name="0f06a165e36c757786ee9e90a8e483b1" w:id="5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行业展望：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未来的一键顺控将由“单站顺控”向“全网协同顺控”演进，实现调度自动化与配网侧的深度联动。轨物科技将持续推动具备“智能决策+态势感知”能力的电力数字化体系建设，赋能能源更高效、更智能的未来。</w:t>
      </w:r>
    </w:p>
    <w:bookmarkEnd w:id="55"/>
    <w:bookmarkStart w:name="fc288a34f7172675b016640402523448" w:id="56"/>
    <w:p>
      <w:pPr>
        <w:spacing w:after="50" w:line="360" w:lineRule="auto" w:beforeLines="100"/>
        <w:ind w:left="0"/>
        <w:jc w:val="left"/>
      </w:pPr>
      <w:bookmarkStart w:name="u84891859" w:id="57"/>
      <w:r>
        <w:rPr>
          <w:rFonts w:eastAsia="宋体" w:ascii="宋体"/>
        </w:rPr>
        <w:drawing>
          <wp:inline distT="0" distB="0" distL="0" distR="0">
            <wp:extent cx="5842000" cy="16240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927337" cy="2666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7"/>
    </w:p>
    <w:bookmarkEnd w:id="56"/>
    <w:bookmarkStart w:name="u33cab519" w:id="58"/>
    <w:p>
      <w:pPr>
        <w:spacing w:after="50" w:line="360" w:lineRule="auto" w:beforeLines="100"/>
        <w:ind w:left="0"/>
        <w:jc w:val="left"/>
      </w:pPr>
      <w:bookmarkStart w:name="u23df1d88" w:id="59"/>
      <w:r>
        <w:rPr>
          <w:rFonts w:eastAsia="宋体" w:ascii="宋体"/>
        </w:rPr>
        <w:drawing>
          <wp:inline distT="0" distB="0" distL="0" distR="0">
            <wp:extent cx="5841999" cy="329487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207067" cy="801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9"/>
      <w:bookmarkStart w:name="u88d305b8" w:id="60"/>
      <w:r>
        <w:rPr>
          <w:rFonts w:eastAsia="宋体" w:ascii="宋体"/>
        </w:rPr>
        <w:drawing>
          <wp:inline distT="0" distB="0" distL="0" distR="0">
            <wp:extent cx="5842000" cy="472607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694400" cy="1512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0"/>
    </w:p>
    <w:bookmarkEnd w:id="58"/>
    <w:bookmarkStart w:name="u2d29b052" w:id="61"/>
    <w:p>
      <w:pPr>
        <w:spacing w:after="50" w:line="360" w:lineRule="auto" w:beforeLines="100"/>
        <w:ind w:left="0"/>
        <w:jc w:val="left"/>
      </w:pPr>
      <w:bookmarkStart w:name="ue16fd594" w:id="62"/>
      <w:r>
        <w:rPr>
          <w:rFonts w:eastAsia="宋体" w:ascii="宋体"/>
        </w:rPr>
        <w:drawing>
          <wp:inline distT="0" distB="0" distL="0" distR="0">
            <wp:extent cx="5842000" cy="4848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487466" cy="186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2"/>
    </w:p>
    <w:bookmarkEnd w:id="61"/>
    <w:bookmarkStart w:name="ucff83372" w:id="63"/>
    <w:p>
      <w:pPr>
        <w:spacing w:after="50" w:line="360" w:lineRule="auto" w:beforeLines="100"/>
        <w:ind w:left="0"/>
        <w:jc w:val="left"/>
      </w:pPr>
      <w:bookmarkStart w:name="BKhW7" w:id="64"/>
      <w:r>
        <w:rPr>
          <w:rFonts w:eastAsia="宋体" w:ascii="宋体"/>
        </w:rPr>
        <w:drawing>
          <wp:inline distT="0" distB="0" distL="0" distR="0">
            <wp:extent cx="5841999" cy="5257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3" cy="10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4"/>
      <w:bookmarkStart w:name="u4f80b00e" w:id="65"/>
      <w:r>
        <w:rPr>
          <w:rFonts w:eastAsia="宋体" w:ascii="宋体"/>
        </w:rPr>
        <w:drawing>
          <wp:inline distT="0" distB="0" distL="0" distR="0">
            <wp:extent cx="5842000" cy="132611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902400" cy="724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5"/>
      <w:bookmarkStart w:name="u05ab25b3" w:id="66"/>
      <w:r>
        <w:rPr>
          <w:rFonts w:eastAsia="宋体" w:ascii="宋体"/>
        </w:rPr>
        <w:drawing>
          <wp:inline distT="0" distB="0" distL="0" distR="0">
            <wp:extent cx="5842000" cy="132611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902400" cy="724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6"/>
      <w:bookmarkStart w:name="u253ad9ec" w:id="67"/>
      <w:r>
        <w:rPr>
          <w:rFonts w:eastAsia="宋体" w:ascii="宋体"/>
        </w:rPr>
        <w:drawing>
          <wp:inline distT="0" distB="0" distL="0" distR="0">
            <wp:extent cx="5842000" cy="132611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902400" cy="724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7"/>
      <w:bookmarkStart w:name="u08e2dc17" w:id="68"/>
      <w:r>
        <w:rPr>
          <w:rFonts w:eastAsia="宋体" w:ascii="宋体"/>
        </w:rPr>
        <w:drawing>
          <wp:inline distT="0" distB="0" distL="0" distR="0">
            <wp:extent cx="5842000" cy="132611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902400" cy="724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8"/>
      <w:bookmarkStart w:name="uffe4dbbc" w:id="69"/>
      <w:r>
        <w:rPr>
          <w:rFonts w:eastAsia="宋体" w:ascii="宋体"/>
        </w:rPr>
        <w:drawing>
          <wp:inline distT="0" distB="0" distL="0" distR="0">
            <wp:extent cx="5841999" cy="286833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314266" cy="408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9"/>
    </w:p>
    <w:bookmarkEnd w:id="6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21" Target="media/document_image_rId21.png" Type="http://schemas.openxmlformats.org/officeDocument/2006/relationships/image"/><Relationship Id="rId22" Target="media/document_image_rId22.png" Type="http://schemas.openxmlformats.org/officeDocument/2006/relationships/image"/><Relationship Id="rId23" Target="media/document_image_rId23.png" Type="http://schemas.openxmlformats.org/officeDocument/2006/relationships/image"/><Relationship Id="rId24" Target="media/document_image_rId24.png" Type="http://schemas.openxmlformats.org/officeDocument/2006/relationships/image"/><Relationship Id="rId25" Target="media/document_image_rId25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