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【技术白皮书】光伏清洁机器人智能控制与运维技术协同集成规范白皮书</w:t>
      </w:r>
    </w:p>
    <w:bookmarkEnd w:id="0"/>
    <w:bookmarkStart w:name="u1e1501a7" w:id="1"/>
    <w:p>
      <w:pPr>
        <w:spacing w:after="50" w:line="360" w:lineRule="auto" w:beforeLines="100"/>
        <w:ind w:left="0"/>
        <w:jc w:val="left"/>
      </w:pPr>
      <w:bookmarkStart w:name="fC6Tt" w:id="2"/>
      <w:r>
        <w:rPr>
          <w:rFonts w:eastAsia="宋体" w:ascii="宋体"/>
        </w:rPr>
        <w:drawing>
          <wp:inline distT="0" distB="0" distL="0" distR="0">
            <wp:extent cx="5842000" cy="37972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4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bookmarkEnd w:id="1"/>
    <w:bookmarkStart w:name="nCsM9" w:id="3"/>
    <w:p>
      <w:pPr>
        <w:pStyle w:val="Heading1"/>
        <w:spacing w:after="50" w:line="360" w:lineRule="auto" w:beforeLines="100"/>
        <w:ind w:left="0"/>
        <w:jc w:val="left"/>
      </w:pPr>
      <w:bookmarkStart w:name="u88d5763b" w:id="4"/>
      <w:r>
        <w:rPr>
          <w:rFonts w:eastAsia="宋体" w:ascii="宋体"/>
        </w:rPr>
        <w:drawing>
          <wp:inline distT="0" distB="0" distL="0" distR="0">
            <wp:extent cx="5842000" cy="782805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883467" cy="2128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"/>
    </w:p>
    <w:bookmarkEnd w:id="3"/>
    <w:bookmarkStart w:name="u3ca4b6b8" w:id="5"/>
    <w:p>
      <w:pPr>
        <w:spacing w:after="50" w:line="360" w:lineRule="auto" w:beforeLines="100"/>
        <w:ind w:left="0"/>
        <w:jc w:val="left"/>
      </w:pPr>
      <w:bookmarkStart w:name="u063a6ac1" w:id="6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9190039cecd54dc266c48b8ceea7b0ee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在全球能源结构转型与碳中和目标的双重驱动下，光伏发电已从辅助能源跃升为主力电源。根据国际能源署（IEA）最新报告，2024年全球新增光伏装机容量突破 600GW 大关，占新增可再生能源的 75% 以上，累计装机规模正式步入 2.2TW 时代。这一高速增长得益于核心政策的强力驱动，如欧盟的 REPowerEU 能源战略、美国《通胀削减法案》（IRA）的税收激励，以及中国“十四五”规划的持续深化。</w:t>
      </w:r>
    </w:p>
    <w:bookmarkEnd w:id="7"/>
    <w:bookmarkStart w:name="8d307f21d79b921331afd9003e7f25de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在地域表现上，中国作为全球引擎，2024年新增装机达 277.57GW（约占全球 46%）。新兴市场亦展现出强劲动能：中东及北非（MENA）地区累计装机已达 24GW，沙特与阿联酋表现突出；拉丁美洲市场中，智利装机增速突破 40%，巴西则在分布式光伏领域领跑南美。</w:t>
      </w:r>
    </w:p>
    <w:bookmarkEnd w:id="8"/>
    <w:bookmarkStart w:name="df15f007da251e0d6be64b7ae3d2b81b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然而，资产规模的指数级增长凸显了积灰损失的经济侵蚀。物理机制研究显示，沙尘、花粉及盐雾通过物理遮挡、光谱特性改变及热斑效应，普遍导致发电量下降 17% 至 25%，干旱地区降幅甚至超过 15%，2023 年全球因灰损导致的经济损失高达 40 亿至 70 亿欧元。实测证明，标准化的自动化清洁可使单次发电量提升约 50%。</w:t>
      </w:r>
    </w:p>
    <w:bookmarkEnd w:id="9"/>
    <w:bookmarkStart w:name="ua5532291" w:id="10"/>
    <w:p>
      <w:pPr>
        <w:spacing w:after="50" w:line="360" w:lineRule="auto" w:beforeLines="100"/>
        <w:ind w:left="0"/>
        <w:jc w:val="left"/>
      </w:pPr>
      <w:bookmarkStart w:name="udd50d163" w:id="11"/>
      <w:r>
        <w:rPr>
          <w:rFonts w:eastAsia="宋体" w:ascii="宋体"/>
        </w:rPr>
        <w:drawing>
          <wp:inline distT="0" distB="0" distL="0" distR="0">
            <wp:extent cx="5842000" cy="391979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066933" cy="12793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f33e14846d6d5ee9e1ca20538fbd38c5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传统的“人海战术”在高电压、高海拔及极端气候下不仅安全风险巨大，且难以适应 GW 级电站的管理需求。因此，</w:t>
      </w:r>
      <w:r>
        <w:rPr>
          <w:rFonts w:ascii="宋体" w:hAnsi="Times New Roman" w:eastAsia="宋体"/>
          <w:b/>
          <w:i w:val="false"/>
          <w:color w:val="000000"/>
          <w:sz w:val="22"/>
        </w:rPr>
        <w:t>光伏清扫机器人系统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（ARCS）已被界定为继组件、逆变器、支架之后的电站“第四大件”。“</w:t>
      </w:r>
      <w:r>
        <w:rPr>
          <w:rFonts w:ascii="宋体" w:hAnsi="Times New Roman" w:eastAsia="宋体"/>
          <w:b/>
          <w:i w:val="false"/>
          <w:color w:val="000000"/>
          <w:sz w:val="22"/>
        </w:rPr>
        <w:t>无人值守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”自主运维是保障资产收益率（IRR）及降低度电成本（LCOE）的核心支架。</w:t>
      </w:r>
    </w:p>
    <w:bookmarkEnd w:id="12"/>
    <w:bookmarkStart w:name="u2850bf44" w:id="13"/>
    <w:p>
      <w:pPr>
        <w:spacing w:after="50" w:line="360" w:lineRule="auto" w:beforeLines="100"/>
        <w:ind w:left="0"/>
        <w:jc w:val="left"/>
      </w:pPr>
      <w:bookmarkStart w:name="RxWx9" w:id="14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91b83c57912d7618166973c4a523fa24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大型地面电站是一个复杂的动态生态系统，各子系统间技术迭代步调不一，导致了显著的“排异反应”。</w:t>
      </w:r>
    </w:p>
    <w:bookmarkEnd w:id="15"/>
    <w:bookmarkStart w:name="6261de0f1f6822420f654d4d780861c6" w:id="16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组件技术迭代的承载挑战：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182mm/210mm 超大尺寸组件（功率突破 600W-700W）已成主流。为追求降本，组件边框趋于减薄，导致机械载荷承载力接近临界点。机器人在长阵列作业时，其自重极易引发组件端部“弯沉”变形，若超出 5400Pa 机械载荷基准，将诱发电池片隐裂。</w:t>
      </w:r>
    </w:p>
    <w:bookmarkEnd w:id="16"/>
    <w:bookmarkStart w:name="402f881a86540305570fe217f6cf16a1" w:id="17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支架结构演进的通过性冲突：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跟踪支架檩条厚度减薄（部分低于 1.5mm），导致支撑稳定性不足。支架上突出的天线、传动杆及回转齿轮等结构常与机器人作业路径产生物理干涉。</w:t>
      </w:r>
    </w:p>
    <w:bookmarkEnd w:id="17"/>
    <w:bookmarkStart w:name="bfa2a6e2cf5e71d6bf26b66d34a9c579" w:id="18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通信与逻辑冲突：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无线频段重叠导致的信号干扰，使得机器人难以实时响应支架状态。在极端天气（如大风、大雪）下，若支架的保护保护机制与机器人作业逻辑未深度对齐，极易发生碰撞事故。</w:t>
      </w:r>
    </w:p>
    <w:bookmarkEnd w:id="18"/>
    <w:bookmarkStart w:name="u4400b4a4" w:id="19"/>
    <w:p>
      <w:pPr>
        <w:spacing w:after="50" w:line="360" w:lineRule="auto" w:beforeLines="100"/>
        <w:ind w:left="0"/>
        <w:jc w:val="left"/>
      </w:pPr>
      <w:bookmarkStart w:name="u7a922029" w:id="20"/>
      <w:r>
        <w:rPr>
          <w:rFonts w:eastAsia="宋体" w:ascii="宋体"/>
        </w:rPr>
        <w:drawing>
          <wp:inline distT="0" distB="0" distL="0" distR="0">
            <wp:extent cx="5841999" cy="39199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06267" cy="13759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uc4920603" w:id="21"/>
    <w:p>
      <w:pPr>
        <w:spacing w:after="50" w:line="360" w:lineRule="auto" w:beforeLines="100"/>
        <w:ind w:left="0"/>
        <w:jc w:val="left"/>
      </w:pPr>
      <w:bookmarkStart w:name="wSMoD" w:id="22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bookmarkEnd w:id="21"/>
    <w:bookmarkStart w:name="8af934091aee01b950d3184b12e2783f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智能硬件作为“无人值守”底层基础，必须针对不同电站需求提供高度可靠的定制化标准。</w:t>
      </w:r>
    </w:p>
    <w:bookmarkEnd w:id="23"/>
    <w:bookmarkStart w:name="twtlK" w:id="2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3.1 无刷电机版本 (Brushless) 规范</w:t>
      </w:r>
    </w:p>
    <w:bookmarkEnd w:id="24"/>
    <w:bookmarkStart w:name="cf19020eea607a79714343d05af59599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针对高性能需求，该方案集成了精密的驱动与感知能力：</w:t>
      </w:r>
    </w:p>
    <w:bookmarkEnd w:id="25"/>
    <w:bookmarkStart w:name="09c7e086bea2810846486cf4bf4b77eb" w:id="26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控制器：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采用 DC24V 供电，核心必须具备</w:t>
      </w:r>
      <w:r>
        <w:rPr>
          <w:rFonts w:ascii="宋体" w:hAnsi="Times New Roman" w:eastAsia="宋体"/>
          <w:b/>
          <w:i w:val="false"/>
          <w:color w:val="000000"/>
          <w:sz w:val="22"/>
        </w:rPr>
        <w:t>自主姿态识别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功能，防止偏斜过大。硬件须支持掉电检测及自动加热/散热，以适应极端工况。</w:t>
      </w:r>
    </w:p>
    <w:bookmarkEnd w:id="26"/>
    <w:bookmarkStart w:name="cd7aac7f5bcb42f40f5dca9df950f6d6" w:id="27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驱动板：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支持多路无刷驱动，最大驱动电流必须达到 </w:t>
      </w:r>
      <w:r>
        <w:rPr>
          <w:rFonts w:ascii="宋体" w:hAnsi="Times New Roman" w:eastAsia="宋体"/>
          <w:b/>
          <w:i w:val="false"/>
          <w:color w:val="000000"/>
          <w:sz w:val="22"/>
        </w:rPr>
        <w:t>10A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。电机电流实时监测精度要求优于 </w:t>
      </w:r>
      <w:r>
        <w:rPr>
          <w:rFonts w:ascii="宋体" w:hAnsi="Times New Roman" w:eastAsia="宋体"/>
          <w:b/>
          <w:i w:val="false"/>
          <w:color w:val="000000"/>
          <w:sz w:val="22"/>
        </w:rPr>
        <w:t>1%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</w:t>
      </w:r>
    </w:p>
    <w:bookmarkEnd w:id="27"/>
    <w:bookmarkStart w:name="80c3cd982a803f2ca6027a23e9505c8b" w:id="28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组网性能：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LoRaWAN/LTE 组网覆盖范围应达 </w:t>
      </w:r>
      <w:r>
        <w:rPr>
          <w:rFonts w:ascii="宋体" w:hAnsi="Times New Roman" w:eastAsia="宋体"/>
          <w:b/>
          <w:i w:val="false"/>
          <w:color w:val="000000"/>
          <w:sz w:val="22"/>
        </w:rPr>
        <w:t>5km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。应用 ADR（自适应速率）技术优化能效，LTE 方案需支持基站“免接线”快速部署。</w:t>
      </w:r>
    </w:p>
    <w:bookmarkEnd w:id="28"/>
    <w:bookmarkStart w:name="u5b6f0a58" w:id="29"/>
    <w:p>
      <w:pPr>
        <w:spacing w:after="50" w:line="360" w:lineRule="auto" w:beforeLines="100"/>
        <w:ind w:left="0"/>
        <w:jc w:val="left"/>
      </w:pPr>
      <w:bookmarkStart w:name="u0ccb5ef6" w:id="30"/>
      <w:r>
        <w:rPr>
          <w:rFonts w:eastAsia="宋体" w:ascii="宋体"/>
        </w:rPr>
        <w:drawing>
          <wp:inline distT="0" distB="0" distL="0" distR="0">
            <wp:extent cx="5841999" cy="391988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31467" cy="1270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0"/>
    </w:p>
    <w:bookmarkEnd w:id="29"/>
    <w:bookmarkStart w:name="DqbnK" w:id="3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3.2 有刷电机版本 (Brushed) 协同机制</w:t>
      </w:r>
    </w:p>
    <w:bookmarkEnd w:id="31"/>
    <w:bookmarkStart w:name="79cbce86aa1815dbaa2359fb4cf67c02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强调模块化协同，由通讯板、控制板与转运车控制板共同构成：</w:t>
      </w:r>
    </w:p>
    <w:bookmarkEnd w:id="32"/>
    <w:bookmarkStart w:name="781f86efd17d0d9225e23790b885930e" w:id="33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控驱一体设计：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控制板必须精确管理 </w:t>
      </w:r>
      <w:r>
        <w:rPr>
          <w:rFonts w:ascii="宋体" w:hAnsi="Times New Roman" w:eastAsia="宋体"/>
          <w:b/>
          <w:i w:val="false"/>
          <w:color w:val="004347"/>
          <w:sz w:val="22"/>
        </w:rPr>
        <w:t>2 路行走轮电机与 1 路毛刷电机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，最大驱动电流 10A，支持自主姿态识别及遥控器直接控制。</w:t>
      </w:r>
    </w:p>
    <w:bookmarkEnd w:id="33"/>
    <w:bookmarkStart w:name="728d5279eedffb3437c5b6ef003c3704" w:id="34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转运车多维联动：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专用转运车控制板需通过多路电机驱动口，协同控制</w:t>
      </w:r>
      <w:r>
        <w:rPr>
          <w:rFonts w:ascii="宋体" w:hAnsi="Times New Roman" w:eastAsia="宋体"/>
          <w:b/>
          <w:i w:val="false"/>
          <w:color w:val="004347"/>
          <w:sz w:val="22"/>
        </w:rPr>
        <w:t>升降电机、推杆电机</w:t>
      </w:r>
      <w:r>
        <w:rPr>
          <w:rFonts w:ascii="宋体" w:hAnsi="Times New Roman" w:eastAsia="宋体"/>
          <w:b/>
          <w:i w:val="false"/>
          <w:color w:val="000000"/>
          <w:sz w:val="22"/>
        </w:rPr>
        <w:t>与</w:t>
      </w:r>
      <w:r>
        <w:rPr>
          <w:rFonts w:ascii="宋体" w:hAnsi="Times New Roman" w:eastAsia="宋体"/>
          <w:b/>
          <w:i w:val="false"/>
          <w:color w:val="004347"/>
          <w:sz w:val="22"/>
        </w:rPr>
        <w:t>行走电机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。配备多路限位检测，确保跨排搬运不脱轨。</w:t>
      </w:r>
    </w:p>
    <w:bookmarkEnd w:id="34"/>
    <w:bookmarkStart w:name="u9081f330" w:id="35"/>
    <w:p>
      <w:pPr>
        <w:spacing w:after="50" w:line="360" w:lineRule="auto" w:beforeLines="100"/>
        <w:ind w:left="0"/>
        <w:jc w:val="left"/>
      </w:pPr>
      <w:bookmarkStart w:name="u10186841" w:id="36"/>
      <w:r>
        <w:rPr>
          <w:rFonts w:eastAsia="宋体" w:ascii="宋体"/>
        </w:rPr>
        <w:drawing>
          <wp:inline distT="0" distB="0" distL="0" distR="0">
            <wp:extent cx="5841999" cy="391988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31467" cy="1270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6"/>
    </w:p>
    <w:bookmarkEnd w:id="35"/>
    <w:bookmarkStart w:name="u7be32529" w:id="37"/>
    <w:p>
      <w:pPr>
        <w:spacing w:after="50" w:line="360" w:lineRule="auto" w:beforeLines="100"/>
        <w:ind w:left="0"/>
        <w:jc w:val="left"/>
      </w:pPr>
      <w:bookmarkStart w:name="neqkO" w:id="38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d7bfafde696a2df8459107809be0761b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算法赋能硬件在非结构化环境下实现“厘米级”精度，是降低系统关联依赖的关键。</w:t>
      </w:r>
    </w:p>
    <w:bookmarkEnd w:id="39"/>
    <w:bookmarkStart w:name="c9f8ba51ebe886bca863bcfe44464252" w:id="40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多传感器融合定位方案：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运用扩展卡尔曼滤波（EKF）算法，将 </w:t>
      </w:r>
      <w:r>
        <w:rPr>
          <w:rFonts w:ascii="宋体" w:hAnsi="Times New Roman" w:eastAsia="宋体"/>
          <w:b/>
          <w:i w:val="false"/>
          <w:color w:val="004347"/>
          <w:sz w:val="22"/>
        </w:rPr>
        <w:t>GNSS/RTK（绝对位置）、IMU（姿态推算）与里程计/轮式编码器（相对约束）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进行互补融合，解决卫星信号短期失效导致的定位漂移。</w:t>
      </w:r>
    </w:p>
    <w:bookmarkEnd w:id="40"/>
    <w:bookmarkStart w:name="d2f1d48074f9900d1822d087877c9ac5" w:id="41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智能纠偏与姿态控制：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自主姿态识别算法必须动态调整行走轮转速，防止长阵列上的偏斜，并支持蓝牙远程调试。</w:t>
      </w:r>
    </w:p>
    <w:bookmarkEnd w:id="41"/>
    <w:bookmarkStart w:name="6d141a54cc28b6e336946557f9f3d89b" w:id="42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智能调适机械臂与离心力自清洁：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360° 可旋转机械臂需毫秒级响应组件表面起伏，实现下压力闭环控制。当机器人返回停机位时，系统应触发</w:t>
      </w:r>
      <w:r>
        <w:rPr>
          <w:rFonts w:ascii="宋体" w:hAnsi="Times New Roman" w:eastAsia="宋体"/>
          <w:b/>
          <w:i w:val="false"/>
          <w:color w:val="004347"/>
          <w:sz w:val="22"/>
        </w:rPr>
        <w:t>离心力自清洁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机制，通过自动提升滚刷转速抛离积聚粉尘，防止二次污染。</w:t>
      </w:r>
    </w:p>
    <w:bookmarkEnd w:id="42"/>
    <w:bookmarkStart w:name="uc8177361" w:id="43"/>
    <w:p>
      <w:pPr>
        <w:spacing w:after="50" w:line="360" w:lineRule="auto" w:beforeLines="100"/>
        <w:ind w:left="0"/>
        <w:jc w:val="left"/>
      </w:pPr>
      <w:bookmarkStart w:name="u490068fc" w:id="44"/>
      <w:r>
        <w:rPr>
          <w:rFonts w:eastAsia="宋体" w:ascii="宋体"/>
        </w:rPr>
        <w:drawing>
          <wp:inline distT="0" distB="0" distL="0" distR="0">
            <wp:extent cx="5842000" cy="391985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51600" cy="1285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585e1ceb" w:id="45"/>
    <w:p>
      <w:pPr>
        <w:spacing w:after="50" w:line="360" w:lineRule="auto" w:beforeLines="100"/>
        <w:ind w:left="0"/>
        <w:jc w:val="left"/>
      </w:pPr>
      <w:bookmarkStart w:name="tZ7wA" w:id="46"/>
      <w:r>
        <w:rPr>
          <w:rFonts w:eastAsia="宋体" w:ascii="宋体"/>
        </w:rPr>
        <w:drawing>
          <wp:inline distT="0" distB="0" distL="0" distR="0">
            <wp:extent cx="5842000" cy="13085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54534" cy="196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6"/>
    </w:p>
    <w:bookmarkEnd w:id="45"/>
    <w:bookmarkStart w:name="f45e90ba1723209988441da816d972e5" w:id="4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物理适配是系统稳定性的红线，必须建立涵盖材料、结构与逻辑的深度协同准则。</w:t>
      </w:r>
    </w:p>
    <w:bookmarkEnd w:id="47"/>
    <w:bookmarkStart w:name="Cs58M" w:id="48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5.1 组件适配技术规范</w:t>
      </w:r>
    </w:p>
    <w:bookmarkEnd w:id="48"/>
    <w:bookmarkStart w:name="a73b0da72fc7047ff4003fd4b4987a6c" w:id="49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玻璃与镀膜：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正面玻璃减反膜铅笔硬度需 </w:t>
      </w:r>
      <w:r>
        <w:rPr>
          <w:rFonts w:ascii="宋体" w:hAnsi="Times New Roman" w:eastAsia="宋体"/>
          <w:b/>
          <w:i w:val="false"/>
          <w:color w:val="004347"/>
          <w:sz w:val="22"/>
        </w:rPr>
        <w:t>≥3H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（载荷 500g），透光率 </w:t>
      </w:r>
      <w:r>
        <w:rPr>
          <w:rFonts w:ascii="宋体" w:hAnsi="Times New Roman" w:eastAsia="宋体"/>
          <w:b/>
          <w:i w:val="false"/>
          <w:color w:val="004347"/>
          <w:sz w:val="22"/>
        </w:rPr>
        <w:t>≥94%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。支持超亲水/超疏水设计以降低清洁难度。</w:t>
      </w:r>
    </w:p>
    <w:bookmarkEnd w:id="49"/>
    <w:bookmarkStart w:name="9ef61c5a08b71a52130817b377d0a17a" w:id="50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柔性连接结构：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推荐使用柔性 Binder（连接件）设计取代硬性螺栓固定。该设计允许组件间存在伸缩空间，有效分担机器人运行载荷，防止机械应力引发隐裂。</w:t>
      </w:r>
    </w:p>
    <w:bookmarkEnd w:id="50"/>
    <w:bookmarkStart w:name="OwtsV" w:id="51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5.2 支架适配技术规范</w:t>
      </w:r>
    </w:p>
    <w:bookmarkEnd w:id="51"/>
    <w:bookmarkStart w:name="eab1bdefbed0512400100e07eb0493e2" w:id="52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材料与结构强度：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支架檩条厚度不应低于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/>
          <w:i w:val="false"/>
          <w:color w:val="004347"/>
          <w:sz w:val="22"/>
        </w:rPr>
        <w:t>1.5mm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。支架厂家在进行结构承载力计算时，</w:t>
      </w:r>
      <w:r>
        <w:rPr>
          <w:rFonts w:ascii="宋体" w:hAnsi="Times New Roman" w:eastAsia="宋体"/>
          <w:b/>
          <w:i w:val="false"/>
          <w:color w:val="004347"/>
          <w:sz w:val="22"/>
        </w:rPr>
        <w:t>必须将支架风载与机器人自重及冲击力一同考虑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，特别是在紧急停机工况下的强度验证。</w:t>
      </w:r>
    </w:p>
    <w:bookmarkEnd w:id="52"/>
    <w:bookmarkStart w:name="1433d01ae6a48e729d1b8f15fd36afee" w:id="53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钢边框对比优势：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针对极端温差地区，推荐评估钢边框组件。实测显示，钢边框自重变形量约 4mm（比铝边框减小 70%）；在 35℃ 极端高温下，其变形量性能优于铝边框 91%。</w:t>
      </w:r>
    </w:p>
    <w:bookmarkEnd w:id="53"/>
    <w:bookmarkStart w:name="786643ff32e5edfc7c4f1ff014629f3d" w:id="54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清扫模式逻辑与接口：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支架需预设夜间自动转动至 </w:t>
      </w:r>
      <w:r>
        <w:rPr>
          <w:rFonts w:ascii="宋体" w:hAnsi="Times New Roman" w:eastAsia="宋体"/>
          <w:b/>
          <w:i w:val="false"/>
          <w:color w:val="004347"/>
          <w:sz w:val="22"/>
        </w:rPr>
        <w:t>20°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清扫位。天线安装位置必须优化，避开毛刷运行路径以防止物理干涉。</w:t>
      </w:r>
    </w:p>
    <w:bookmarkEnd w:id="54"/>
    <w:bookmarkStart w:name="7c35db8ded68c5a17b9f9aa35b708328" w:id="55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通信与响应时延：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 xml:space="preserve"> </w:t>
      </w:r>
      <w:r>
        <w:rPr>
          <w:rFonts w:ascii="宋体" w:hAnsi="Times New Roman" w:eastAsia="宋体"/>
          <w:b/>
          <w:i w:val="false"/>
          <w:color w:val="004347"/>
          <w:sz w:val="22"/>
        </w:rPr>
        <w:t>防风告警等关键信息上传延迟必须达到秒级</w:t>
      </w:r>
      <w:r>
        <w:rPr>
          <w:rFonts w:ascii="宋体" w:hAnsi="Times New Roman" w:eastAsia="宋体"/>
          <w:b w:val="false"/>
          <w:i w:val="false"/>
          <w:color w:val="004347"/>
          <w:sz w:val="22"/>
        </w:rPr>
        <w:t>；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非关键信息（如角度、位置）允许适当延时。机器人 SCADA 系统应与支架/气象站数据开源互通。</w:t>
      </w:r>
    </w:p>
    <w:bookmarkEnd w:id="55"/>
    <w:bookmarkStart w:name="u0e5b7b0f" w:id="56"/>
    <w:p>
      <w:pPr>
        <w:spacing w:after="50" w:line="360" w:lineRule="auto" w:beforeLines="100"/>
        <w:ind w:left="0"/>
        <w:jc w:val="left"/>
      </w:pPr>
      <w:bookmarkStart w:name="AtMbS" w:id="57"/>
      <w:r>
        <w:rPr>
          <w:rFonts w:eastAsia="宋体" w:ascii="宋体"/>
        </w:rPr>
        <w:drawing>
          <wp:inline distT="0" distB="0" distL="0" distR="0">
            <wp:extent cx="5842000" cy="12676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20666" cy="18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0c63cd1f2ee5139f4ecfd2390cd65120" w:id="5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未来的光伏运维将迈向“比特”与“瓦特”的极致融合，构建全自主运维生态。</w:t>
      </w:r>
    </w:p>
    <w:bookmarkEnd w:id="58"/>
    <w:bookmarkStart w:name="173abef93d6968bca5bd9bff5c5d83af" w:id="59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全场景机器人矩阵：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运维将从单一清洁向</w:t>
      </w:r>
      <w:r>
        <w:rPr>
          <w:rFonts w:ascii="宋体" w:hAnsi="Times New Roman" w:eastAsia="宋体"/>
          <w:b/>
          <w:i w:val="false"/>
          <w:color w:val="004347"/>
          <w:sz w:val="22"/>
        </w:rPr>
        <w:t>安装、割草、巡检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机器人矩阵演进。无人机红外巡检可与机器人联动，实现“发现热斑-针对性清扫-复检”的业务闭环。</w:t>
      </w:r>
    </w:p>
    <w:bookmarkEnd w:id="59"/>
    <w:bookmarkStart w:name="d6a99157b3727dc382368e12c0502adf" w:id="60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数字孪生与 AI 决策：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利用数字孪生构建 1:1 动态模型，基于 AI 大模型预测发电量并自动调度清洁任务，以匹配最优电价波动。</w:t>
      </w:r>
    </w:p>
    <w:bookmarkEnd w:id="60"/>
    <w:bookmarkStart w:name="c158113b8e43e0040279a581cca21141" w:id="61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产业生态共建：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倡议建立制造商、业主与第三方认证机构的协同机制，推动全球统一的技术标准，使智能化清扫成为先进光伏电站的标配。</w:t>
      </w:r>
    </w:p>
    <w:bookmarkEnd w:id="61"/>
    <w:bookmarkStart w:name="u45b74c3c" w:id="62"/>
    <w:p>
      <w:pPr>
        <w:spacing w:after="50" w:line="360" w:lineRule="auto" w:beforeLines="100"/>
        <w:ind w:left="0"/>
        <w:jc w:val="left"/>
      </w:pPr>
      <w:bookmarkStart w:name="ue5e7508b" w:id="63"/>
      <w:r>
        <w:rPr>
          <w:rFonts w:eastAsia="宋体" w:ascii="宋体"/>
        </w:rPr>
        <w:drawing>
          <wp:inline distT="0" distB="0" distL="0" distR="0">
            <wp:extent cx="5841999" cy="391992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58267" cy="11714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3"/>
    </w:p>
    <w:bookmarkEnd w:id="62"/>
    <w:bookmarkStart w:name="gmtsK" w:id="64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附录：术语表与技术参考文献</w:t>
      </w:r>
    </w:p>
    <w:bookmarkEnd w:id="64"/>
    <w:bookmarkStart w:name="hLiy3" w:id="65"/>
    <w:p>
      <w:pPr>
        <w:pStyle w:val="Heading3"/>
        <w:spacing w:after="50" w:line="360" w:lineRule="auto" w:beforeLines="100"/>
        <w:ind w:left="0"/>
        <w:jc w:val="left"/>
      </w:pPr>
      <w:bookmarkStart w:name="u9ddfa3fd" w:id="66"/>
      <w:r>
        <w:rPr>
          <w:rFonts w:eastAsia="宋体" w:ascii="宋体"/>
        </w:rPr>
        <w:drawing>
          <wp:inline distT="0" distB="0" distL="0" distR="0">
            <wp:extent cx="5842000" cy="377713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6"/>
    </w:p>
    <w:bookmarkEnd w:id="65"/>
    <w:bookmarkStart w:name="EwxBa" w:id="67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color w:val="004347"/>
        </w:rPr>
        <w:t>技术参考文献</w:t>
      </w:r>
    </w:p>
    <w:bookmarkEnd w:id="67"/>
    <w:bookmarkStart w:name="23f6619f4708dd012cd3ec8ade99d998" w:id="68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IEC 60904-9:2020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：光伏器件 - 太阳模拟器性能要求</w:t>
      </w:r>
    </w:p>
    <w:bookmarkEnd w:id="68"/>
    <w:bookmarkStart w:name="b559ea85b80f6220b336165e63bfc119" w:id="69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IEC 61215-1:2021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：地面用光伏组件 - 设计鉴定和定型标准</w:t>
      </w:r>
    </w:p>
    <w:bookmarkEnd w:id="69"/>
    <w:bookmarkStart w:name="9baf34667062eac097108f707f9d21d4" w:id="70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IEA (2023)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：Soiling losses - impact on the performance of PV power plants</w:t>
      </w:r>
    </w:p>
    <w:bookmarkEnd w:id="70"/>
    <w:bookmarkStart w:name="0d05959cb0146a2cb92dbf95c2e678df" w:id="71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《光伏系统清洁维护技术》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：高德东，电子工业出版社</w:t>
      </w:r>
    </w:p>
    <w:bookmarkEnd w:id="71"/>
    <w:bookmarkStart w:name="7afe26c15369798f2027f6b9d9c27fb2" w:id="72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000000"/>
          <w:sz w:val="22"/>
        </w:rPr>
        <w:t>Huawei (2024)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：Smart PV Lifecycle Management Trends Report</w:t>
      </w:r>
    </w:p>
    <w:bookmarkEnd w:id="72"/>
    <w:bookmarkStart w:name="a1c808c135671facf66c386a292d5d51" w:id="73"/>
    <w:p>
      <w:pPr>
        <w:spacing w:after="50" w:line="360" w:lineRule="auto" w:beforeLines="100"/>
        <w:ind w:left="0"/>
        <w:jc w:val="left"/>
      </w:pPr>
      <w:bookmarkStart w:name="DNRhl" w:id="74"/>
      <w:r>
        <w:rPr>
          <w:rFonts w:eastAsia="宋体" w:ascii="宋体"/>
        </w:rPr>
        <w:drawing>
          <wp:inline distT="0" distB="0" distL="0" distR="0">
            <wp:extent cx="5842000" cy="16240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927337" cy="2666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4"/>
    </w:p>
    <w:bookmarkEnd w:id="73"/>
    <w:bookmarkStart w:name="u00872bd5" w:id="75"/>
    <w:p>
      <w:pPr>
        <w:spacing w:after="50" w:line="360" w:lineRule="auto" w:beforeLines="100"/>
        <w:ind w:left="0"/>
        <w:jc w:val="left"/>
      </w:pPr>
      <w:bookmarkStart w:name="J96Mf" w:id="76"/>
      <w:r>
        <w:rPr>
          <w:rFonts w:eastAsia="宋体" w:ascii="宋体"/>
        </w:rPr>
        <w:drawing>
          <wp:inline distT="0" distB="0" distL="0" distR="0">
            <wp:extent cx="5841999" cy="329487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07067" cy="80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6"/>
      <w:bookmarkStart w:name="FqXNE" w:id="77"/>
      <w:r>
        <w:rPr>
          <w:rFonts w:eastAsia="宋体" w:ascii="宋体"/>
        </w:rPr>
        <w:drawing>
          <wp:inline distT="0" distB="0" distL="0" distR="0">
            <wp:extent cx="5842000" cy="472607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0" cy="1512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7"/>
    </w:p>
    <w:bookmarkEnd w:id="75"/>
    <w:bookmarkStart w:name="uf65c4dbd" w:id="78"/>
    <w:p>
      <w:pPr>
        <w:spacing w:after="50" w:line="360" w:lineRule="auto" w:beforeLines="100"/>
        <w:ind w:left="0"/>
        <w:jc w:val="left"/>
      </w:pPr>
      <w:bookmarkStart w:name="yb22h" w:id="79"/>
      <w:r>
        <w:rPr>
          <w:rFonts w:eastAsia="宋体" w:ascii="宋体"/>
        </w:rPr>
        <w:drawing>
          <wp:inline distT="0" distB="0" distL="0" distR="0">
            <wp:extent cx="5842000" cy="4848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8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9"/>
      <w:bookmarkStart w:name="u1625861b" w:id="80"/>
      <w:r>
        <w:rPr>
          <w:rFonts w:eastAsia="宋体" w:ascii="宋体"/>
        </w:rPr>
        <w:drawing>
          <wp:inline distT="0" distB="0" distL="0" distR="0">
            <wp:extent cx="5841999" cy="5257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3" cy="102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0"/>
      <w:bookmarkStart w:name="u24b51b7e" w:id="81"/>
      <w:r>
        <w:rPr>
          <w:rFonts w:eastAsia="宋体" w:ascii="宋体"/>
        </w:rPr>
        <w:drawing>
          <wp:inline distT="0" distB="0" distL="0" distR="0">
            <wp:extent cx="5842000" cy="126769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902400" cy="6922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1"/>
      <w:bookmarkStart w:name="u5f5ca344" w:id="82"/>
      <w:r>
        <w:rPr>
          <w:rFonts w:eastAsia="宋体" w:ascii="宋体"/>
        </w:rPr>
        <w:drawing>
          <wp:inline distT="0" distB="0" distL="0" distR="0">
            <wp:extent cx="5842000" cy="12968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275866" cy="69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2"/>
      <w:bookmarkStart w:name="u8eb1367a" w:id="83"/>
      <w:r>
        <w:rPr>
          <w:rFonts w:eastAsia="宋体" w:ascii="宋体"/>
        </w:rPr>
        <w:drawing>
          <wp:inline distT="0" distB="0" distL="0" distR="0">
            <wp:extent cx="5842000" cy="131442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106534" cy="699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3"/>
      <w:bookmarkStart w:name="uf017e9fa" w:id="84"/>
      <w:r>
        <w:rPr>
          <w:rFonts w:eastAsia="宋体" w:ascii="宋体"/>
        </w:rPr>
        <w:drawing>
          <wp:inline distT="0" distB="0" distL="0" distR="0">
            <wp:extent cx="5841999" cy="1296899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343600" cy="695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4"/>
      <w:bookmarkStart w:name="u7ca0fdd8" w:id="85"/>
      <w:r>
        <w:rPr>
          <w:rFonts w:eastAsia="宋体" w:ascii="宋体"/>
        </w:rPr>
        <w:drawing>
          <wp:inline distT="0" distB="0" distL="0" distR="0">
            <wp:extent cx="5841999" cy="28683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314266" cy="408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5"/>
    </w:p>
    <w:bookmarkEnd w:id="7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23" Target="media/document_image_rId23.png" Type="http://schemas.openxmlformats.org/officeDocument/2006/relationships/image"/><Relationship Id="rId24" Target="media/document_image_rId24.png" Type="http://schemas.openxmlformats.org/officeDocument/2006/relationships/image"/><Relationship Id="rId25" Target="media/document_image_rId25.png" Type="http://schemas.openxmlformats.org/officeDocument/2006/relationships/image"/><Relationship Id="rId26" Target="media/document_image_rId26.png" Type="http://schemas.openxmlformats.org/officeDocument/2006/relationships/image"/><Relationship Id="rId27" Target="media/document_image_rId27.png" Type="http://schemas.openxmlformats.org/officeDocument/2006/relationships/image"/><Relationship Id="rId28" Target="media/document_image_rId28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