
<file path=[Content_Types].xml><?xml version="1.0" encoding="utf-8"?>
<Types xmlns="http://schemas.openxmlformats.org/package/2006/content-types">
  <Default ContentType="application/vnd.openxmlformats-package.relationships+xml" Extension="rels"/>
  <Default ContentType="application/vnd.openxmlformats-officedocument.wordprocessingml.document.main+xml" Extension="xml"/>
  <Override ContentType="application/vnd.openxmlformats-officedocument.extended-properties+xml" PartName="/docProps/app.xml"/>
  <Override ContentType="application/vnd.openxmlformats-package.core-properties+xml" PartName="/docProps/core.xml"/>
  <Override ContentType="image/png" PartName="/word/media/document_image_rId4.png"/>
  <Override ContentType="image/png" PartName="/word/media/document_image_rId5.png"/>
  <Override ContentType="image/png" PartName="/word/media/document_image_rId6.png"/>
  <Override ContentType="image/png" PartName="/word/media/document_image_rId7.png"/>
  <Override ContentType="image/png" PartName="/word/media/document_image_rId8.png"/>
  <Override ContentType="image/png" PartName="/word/media/document_image_rId9.png"/>
  <Override ContentType="image/png" PartName="/word/media/document_image_rId10.png"/>
  <Override ContentType="image/png" PartName="/word/media/document_image_rId11.png"/>
  <Override ContentType="image/png" PartName="/word/media/document_image_rId12.png"/>
  <Override ContentType="image/png" PartName="/word/media/document_image_rId13.png"/>
  <Override ContentType="image/png" PartName="/word/media/document_image_rId14.png"/>
  <Override ContentType="image/png" PartName="/word/media/document_image_rId15.png"/>
  <Override ContentType="image/png" PartName="/word/media/document_image_rId16.png"/>
  <Override ContentType="image/png" PartName="/word/media/document_image_rId17.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Created by docx4j 6.1.2 (Apache licensed) using REFERENCE JAXB in Oracle Java 1.8.0_131 on Linux -->
    <w:p>
      <w:pPr>
        <w:pStyle w:val="Heading1"/>
        <w:spacing w:after="50" w:line="360" w:lineRule="auto" w:beforeLines="100"/>
        <w:ind w:left="0"/>
        <w:jc w:val="left"/>
      </w:pPr>
      <w:r>
        <w:rPr>
          <w:rFonts w:ascii="宋体" w:hAnsi="Times New Roman" w:eastAsia="宋体"/>
        </w:rPr>
        <w:t>【行业动态】轨物科技光伏清洁机器人智能控制和运维解决方案正式上线华为鲲鹏解决方案市场</w:t>
      </w:r>
    </w:p>
    <w:p>
      <w:pPr>
        <w:pStyle w:val="Heading2"/>
        <w:spacing w:after="50" w:line="360" w:lineRule="auto" w:beforeLines="100"/>
        <w:ind w:left="0"/>
        <w:jc w:val="left"/>
      </w:pPr>
      <w:bookmarkStart w:name="N07tS" w:id="0"/>
      <w:bookmarkStart w:name="bDjey" w:id="1"/>
      <w:r>
        <w:rPr>
          <w:rFonts w:eastAsia="宋体" w:ascii="宋体"/>
        </w:rPr>
        <w:drawing>
          <wp:inline distT="0" distB="0" distL="0" distR="0">
            <wp:extent cx="5842000" cy="37972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487466" cy="1461655"/>
                    </a:xfrm>
                    <a:prstGeom prst="rect">
                      <a:avLst/>
                    </a:prstGeom>
                  </pic:spPr>
                </pic:pic>
              </a:graphicData>
            </a:graphic>
          </wp:inline>
        </w:drawing>
      </w:r>
      <w:bookmarkEnd w:id="1"/>
    </w:p>
    <w:bookmarkEnd w:id="0"/>
    <w:bookmarkStart w:name="u41609107" w:id="2"/>
    <w:p>
      <w:pPr>
        <w:spacing w:after="50" w:line="360" w:lineRule="auto" w:beforeLines="100"/>
        <w:ind w:left="0"/>
        <w:jc w:val="left"/>
      </w:pPr>
      <w:bookmarkStart w:name="TW9zn" w:id="3"/>
      <w:r>
        <w:rPr>
          <w:rFonts w:eastAsia="宋体" w:ascii="宋体"/>
        </w:rPr>
        <w:drawing>
          <wp:inline distT="0" distB="0" distL="0" distR="0">
            <wp:extent cx="5842000" cy="36803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487466" cy="1416681"/>
                    </a:xfrm>
                    <a:prstGeom prst="rect">
                      <a:avLst/>
                    </a:prstGeom>
                  </pic:spPr>
                </pic:pic>
              </a:graphicData>
            </a:graphic>
          </wp:inline>
        </w:drawing>
      </w:r>
      <w:bookmarkEnd w:id="3"/>
    </w:p>
    <w:bookmarkEnd w:id="2"/>
    <w:bookmarkStart w:name="ue3d29436" w:id="4"/>
    <w:p>
      <w:pPr>
        <w:spacing w:after="50" w:line="360" w:lineRule="auto" w:beforeLines="100"/>
        <w:ind w:left="0"/>
        <w:jc w:val="left"/>
      </w:pPr>
      <w:bookmarkStart w:name="u2bd2e236" w:id="5"/>
      <w:r>
        <w:rPr>
          <w:rFonts w:eastAsia="宋体" w:ascii="宋体"/>
        </w:rPr>
        <w:drawing>
          <wp:inline distT="0" distB="0" distL="0" distR="0">
            <wp:extent cx="5842000" cy="183432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402800" cy="7034228"/>
                    </a:xfrm>
                    <a:prstGeom prst="rect">
                      <a:avLst/>
                    </a:prstGeom>
                  </pic:spPr>
                </pic:pic>
              </a:graphicData>
            </a:graphic>
          </wp:inline>
        </w:drawing>
      </w:r>
      <w:bookmarkEnd w:id="5"/>
    </w:p>
    <w:bookmarkEnd w:id="4"/>
    <w:bookmarkStart w:name="uac32f597" w:id="6"/>
    <w:p>
      <w:pPr>
        <w:spacing w:after="50" w:line="360" w:lineRule="auto" w:beforeLines="100"/>
        <w:ind w:left="0"/>
        <w:jc w:val="left"/>
      </w:pPr>
      <w:r>
        <w:rPr>
          <w:rFonts w:ascii="宋体" w:hAnsi="Times New Roman" w:eastAsia="宋体"/>
          <w:b w:val="false"/>
          <w:i w:val="false"/>
          <w:color w:val="000000"/>
          <w:sz w:val="22"/>
        </w:rPr>
        <w:t>2025年12月18日，轨物科技自主研发的“</w:t>
      </w:r>
      <w:r>
        <w:rPr>
          <w:rFonts w:ascii="宋体" w:hAnsi="Times New Roman" w:eastAsia="宋体"/>
          <w:b/>
          <w:i w:val="false"/>
          <w:color w:val="5c8d07"/>
          <w:sz w:val="22"/>
        </w:rPr>
        <w:t>光伏清洁机器人智能控制和运维解决方案V1.0</w:t>
      </w:r>
      <w:r>
        <w:rPr>
          <w:rFonts w:ascii="宋体" w:hAnsi="Times New Roman" w:eastAsia="宋体"/>
          <w:b w:val="false"/>
          <w:i w:val="false"/>
          <w:color w:val="000000"/>
          <w:sz w:val="22"/>
        </w:rPr>
        <w:t>”正式上线</w:t>
      </w:r>
      <w:r>
        <w:rPr>
          <w:rFonts w:ascii="宋体" w:hAnsi="Times New Roman" w:eastAsia="宋体"/>
          <w:b/>
          <w:i w:val="false"/>
          <w:color w:val="5c8d07"/>
          <w:sz w:val="22"/>
        </w:rPr>
        <w:t>华为鲲鹏解决方案市场</w:t>
      </w:r>
      <w:r>
        <w:rPr>
          <w:rFonts w:ascii="宋体" w:hAnsi="Times New Roman" w:eastAsia="宋体"/>
          <w:b w:val="false"/>
          <w:i w:val="false"/>
          <w:color w:val="000000"/>
          <w:sz w:val="22"/>
        </w:rPr>
        <w:t>，标志着轨物科技在</w:t>
      </w:r>
      <w:r>
        <w:rPr>
          <w:rFonts w:ascii="宋体" w:hAnsi="Times New Roman" w:eastAsia="宋体"/>
          <w:b/>
          <w:i w:val="false"/>
          <w:color w:val="5c8d07"/>
          <w:sz w:val="22"/>
        </w:rPr>
        <w:t>新能源运维智能化</w:t>
      </w:r>
      <w:r>
        <w:rPr>
          <w:rFonts w:ascii="宋体" w:hAnsi="Times New Roman" w:eastAsia="宋体"/>
          <w:b w:val="false"/>
          <w:i w:val="false"/>
          <w:color w:val="000000"/>
          <w:sz w:val="22"/>
        </w:rPr>
        <w:t>领域迈出了重要一步。该解决方案深度融合华为鲲鹏生态技术，以创新科技赋能光伏行业，为全球光伏电站提供高效、精准、安全的智能化运维新范式。</w:t>
      </w:r>
    </w:p>
    <w:bookmarkEnd w:id="6"/>
    <w:bookmarkStart w:name="u61b99a46" w:id="7"/>
    <w:p>
      <w:pPr>
        <w:spacing w:after="50" w:line="360" w:lineRule="auto" w:beforeLines="100"/>
        <w:ind w:left="0"/>
        <w:jc w:val="left"/>
      </w:pPr>
      <w:bookmarkStart w:name="u82082c41" w:id="8"/>
      <w:r>
        <w:rPr>
          <w:rFonts w:eastAsia="宋体" w:ascii="宋体"/>
        </w:rPr>
        <w:drawing>
          <wp:inline distT="0" distB="0" distL="0" distR="0">
            <wp:extent cx="5841999" cy="196286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470534" cy="7549920"/>
                    </a:xfrm>
                    <a:prstGeom prst="rect">
                      <a:avLst/>
                    </a:prstGeom>
                  </pic:spPr>
                </pic:pic>
              </a:graphicData>
            </a:graphic>
          </wp:inline>
        </w:drawing>
      </w:r>
      <w:bookmarkEnd w:id="8"/>
    </w:p>
    <w:bookmarkEnd w:id="7"/>
    <w:bookmarkStart w:name="u6935f8f3" w:id="9"/>
    <w:p>
      <w:pPr>
        <w:spacing w:after="50" w:line="360" w:lineRule="auto" w:beforeLines="100"/>
        <w:ind w:left="0"/>
        <w:jc w:val="left"/>
      </w:pPr>
      <w:r>
        <w:rPr>
          <w:rFonts w:ascii="宋体" w:hAnsi="Times New Roman" w:eastAsia="宋体"/>
          <w:b w:val="false"/>
          <w:i w:val="false"/>
          <w:color w:val="000000"/>
          <w:sz w:val="22"/>
        </w:rPr>
        <w:t>该方案主要基于传统光伏电站依赖人工清洁与巡检，存在</w:t>
      </w:r>
      <w:r>
        <w:rPr>
          <w:rFonts w:ascii="宋体" w:hAnsi="Times New Roman" w:eastAsia="宋体"/>
          <w:b/>
          <w:i w:val="false"/>
          <w:color w:val="5c8d07"/>
          <w:sz w:val="22"/>
        </w:rPr>
        <w:t>效率低</w:t>
      </w:r>
      <w:r>
        <w:rPr>
          <w:rFonts w:ascii="宋体" w:hAnsi="Times New Roman" w:eastAsia="宋体"/>
          <w:b w:val="false"/>
          <w:i w:val="false"/>
          <w:color w:val="000000"/>
          <w:sz w:val="22"/>
        </w:rPr>
        <w:t>、</w:t>
      </w:r>
      <w:r>
        <w:rPr>
          <w:rFonts w:ascii="宋体" w:hAnsi="Times New Roman" w:eastAsia="宋体"/>
          <w:b/>
          <w:i w:val="false"/>
          <w:color w:val="5c8d07"/>
          <w:sz w:val="22"/>
        </w:rPr>
        <w:t>成本高</w:t>
      </w:r>
      <w:r>
        <w:rPr>
          <w:rFonts w:ascii="宋体" w:hAnsi="Times New Roman" w:eastAsia="宋体"/>
          <w:b w:val="false"/>
          <w:i w:val="false"/>
          <w:color w:val="000000"/>
          <w:sz w:val="22"/>
        </w:rPr>
        <w:t>、</w:t>
      </w:r>
      <w:r>
        <w:rPr>
          <w:rFonts w:ascii="宋体" w:hAnsi="Times New Roman" w:eastAsia="宋体"/>
          <w:b/>
          <w:i w:val="false"/>
          <w:color w:val="5c8d07"/>
          <w:sz w:val="22"/>
        </w:rPr>
        <w:t>安全隐患</w:t>
      </w:r>
      <w:r>
        <w:rPr>
          <w:rFonts w:ascii="宋体" w:hAnsi="Times New Roman" w:eastAsia="宋体"/>
          <w:b w:val="false"/>
          <w:i w:val="false"/>
          <w:color w:val="000000"/>
          <w:sz w:val="22"/>
        </w:rPr>
        <w:t>等问题，通过三大核心能力实现突破：</w:t>
      </w:r>
    </w:p>
    <w:bookmarkEnd w:id="9"/>
    <w:bookmarkStart w:name="ub82b41f0" w:id="10"/>
    <w:p>
      <w:pPr>
        <w:spacing w:after="50" w:line="360" w:lineRule="auto" w:beforeLines="100"/>
        <w:ind w:left="0"/>
        <w:jc w:val="left"/>
      </w:pPr>
      <w:r>
        <w:rPr>
          <w:rFonts w:ascii="宋体" w:hAnsi="Times New Roman" w:eastAsia="宋体"/>
          <w:b/>
          <w:i w:val="false"/>
          <w:color w:val="5c8d07"/>
          <w:sz w:val="22"/>
        </w:rPr>
        <w:t>智能路径规划</w:t>
      </w:r>
      <w:r>
        <w:rPr>
          <w:rFonts w:ascii="宋体" w:hAnsi="Times New Roman" w:eastAsia="宋体"/>
          <w:b w:val="false"/>
          <w:i w:val="false"/>
          <w:color w:val="5c8d07"/>
          <w:sz w:val="22"/>
        </w:rPr>
        <w:t>：</w:t>
      </w:r>
      <w:r>
        <w:rPr>
          <w:rFonts w:ascii="宋体" w:hAnsi="Times New Roman" w:eastAsia="宋体"/>
          <w:b w:val="false"/>
          <w:i w:val="false"/>
          <w:color w:val="000000"/>
          <w:sz w:val="22"/>
        </w:rPr>
        <w:t>基于AI算法的动态清洁路径优化，提升清扫效率30%以上，并减少设备能耗；</w:t>
      </w:r>
    </w:p>
    <w:bookmarkEnd w:id="10"/>
    <w:bookmarkStart w:name="u29cbd7ae" w:id="11"/>
    <w:p>
      <w:pPr>
        <w:spacing w:after="50" w:line="360" w:lineRule="auto" w:beforeLines="100"/>
        <w:ind w:left="0"/>
        <w:jc w:val="left"/>
      </w:pPr>
      <w:r>
        <w:rPr>
          <w:rFonts w:ascii="宋体" w:hAnsi="Times New Roman" w:eastAsia="宋体"/>
          <w:b/>
          <w:i w:val="false"/>
          <w:color w:val="5c8d07"/>
          <w:sz w:val="22"/>
        </w:rPr>
        <w:t>全自动化运维</w:t>
      </w:r>
      <w:r>
        <w:rPr>
          <w:rFonts w:ascii="宋体" w:hAnsi="Times New Roman" w:eastAsia="宋体"/>
          <w:b w:val="false"/>
          <w:i w:val="false"/>
          <w:color w:val="5c8d07"/>
          <w:sz w:val="22"/>
        </w:rPr>
        <w:t>：</w:t>
      </w:r>
      <w:r>
        <w:rPr>
          <w:rFonts w:ascii="宋体" w:hAnsi="Times New Roman" w:eastAsia="宋体"/>
          <w:b w:val="false"/>
          <w:i w:val="false"/>
          <w:color w:val="000000"/>
          <w:sz w:val="22"/>
        </w:rPr>
        <w:t>机器人支持多地形适应与障碍规避，实现电站7×24小时无人值守清洁；</w:t>
      </w:r>
    </w:p>
    <w:bookmarkEnd w:id="11"/>
    <w:bookmarkStart w:name="ufca4c07d" w:id="12"/>
    <w:p>
      <w:pPr>
        <w:spacing w:after="50" w:line="360" w:lineRule="auto" w:beforeLines="100"/>
        <w:ind w:left="0"/>
        <w:jc w:val="left"/>
      </w:pPr>
      <w:r>
        <w:rPr>
          <w:rFonts w:ascii="宋体" w:hAnsi="Times New Roman" w:eastAsia="宋体"/>
          <w:b/>
          <w:i w:val="false"/>
          <w:color w:val="5c8d07"/>
          <w:sz w:val="22"/>
        </w:rPr>
        <w:t>数据驱动决策</w:t>
      </w:r>
      <w:r>
        <w:rPr>
          <w:rFonts w:ascii="宋体" w:hAnsi="Times New Roman" w:eastAsia="宋体"/>
          <w:b w:val="false"/>
          <w:i w:val="false"/>
          <w:color w:val="5c8d07"/>
          <w:sz w:val="22"/>
        </w:rPr>
        <w:t>：</w:t>
      </w:r>
      <w:r>
        <w:rPr>
          <w:rFonts w:ascii="宋体" w:hAnsi="Times New Roman" w:eastAsia="宋体"/>
          <w:b w:val="false"/>
          <w:i w:val="false"/>
          <w:color w:val="000000"/>
          <w:sz w:val="22"/>
        </w:rPr>
        <w:t>通过华为鲲鹏云平台实时分析电站运行数据，生成运维报告，为设备健康管理提供精准预测。</w:t>
      </w:r>
    </w:p>
    <w:bookmarkEnd w:id="12"/>
    <w:bookmarkStart w:name="u2b78f93a" w:id="13"/>
    <w:p>
      <w:pPr>
        <w:spacing w:after="50" w:line="360" w:lineRule="auto" w:beforeLines="100"/>
        <w:ind w:left="0"/>
        <w:jc w:val="left"/>
      </w:pPr>
      <w:bookmarkStart w:name="p59M0" w:id="14"/>
      <w:r>
        <w:rPr>
          <w:rFonts w:eastAsia="宋体" w:ascii="宋体"/>
        </w:rPr>
        <w:drawing>
          <wp:inline distT="0" distB="0" distL="0" distR="0">
            <wp:extent cx="5841999" cy="250609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814800" cy="7213206"/>
                    </a:xfrm>
                    <a:prstGeom prst="rect">
                      <a:avLst/>
                    </a:prstGeom>
                  </pic:spPr>
                </pic:pic>
              </a:graphicData>
            </a:graphic>
          </wp:inline>
        </w:drawing>
      </w:r>
      <w:bookmarkEnd w:id="14"/>
    </w:p>
    <w:bookmarkEnd w:id="13"/>
    <w:bookmarkStart w:name="uca9ec75c" w:id="15"/>
    <w:p>
      <w:pPr>
        <w:spacing w:after="50" w:line="360" w:lineRule="auto" w:beforeLines="100"/>
        <w:ind w:left="0"/>
        <w:jc w:val="left"/>
      </w:pPr>
      <w:r>
        <w:rPr>
          <w:rFonts w:ascii="宋体" w:hAnsi="Times New Roman" w:eastAsia="宋体"/>
          <w:b w:val="false"/>
          <w:i w:val="false"/>
          <w:color w:val="000000"/>
          <w:sz w:val="22"/>
        </w:rPr>
        <w:t>此次解决方案的上架，进一步深化了与华为在</w:t>
      </w:r>
      <w:r>
        <w:rPr>
          <w:rFonts w:ascii="宋体" w:hAnsi="Times New Roman" w:eastAsia="宋体"/>
          <w:b/>
          <w:i w:val="false"/>
          <w:color w:val="5c8d07"/>
          <w:sz w:val="22"/>
        </w:rPr>
        <w:t>智能硬件</w:t>
      </w:r>
      <w:r>
        <w:rPr>
          <w:rFonts w:ascii="宋体" w:hAnsi="Times New Roman" w:eastAsia="宋体"/>
          <w:b w:val="false"/>
          <w:i w:val="false"/>
          <w:color w:val="000000"/>
          <w:sz w:val="22"/>
        </w:rPr>
        <w:t>、</w:t>
      </w:r>
      <w:r>
        <w:rPr>
          <w:rFonts w:ascii="宋体" w:hAnsi="Times New Roman" w:eastAsia="宋体"/>
          <w:b/>
          <w:i w:val="false"/>
          <w:color w:val="5c8d07"/>
          <w:sz w:val="22"/>
        </w:rPr>
        <w:t>云计算</w:t>
      </w:r>
      <w:r>
        <w:rPr>
          <w:rFonts w:ascii="宋体" w:hAnsi="Times New Roman" w:eastAsia="宋体"/>
          <w:b w:val="false"/>
          <w:i w:val="false"/>
          <w:color w:val="000000"/>
          <w:sz w:val="22"/>
        </w:rPr>
        <w:t>和</w:t>
      </w:r>
      <w:r>
        <w:rPr>
          <w:rFonts w:ascii="宋体" w:hAnsi="Times New Roman" w:eastAsia="宋体"/>
          <w:b/>
          <w:i w:val="false"/>
          <w:color w:val="5c8d07"/>
          <w:sz w:val="22"/>
        </w:rPr>
        <w:t>大数据</w:t>
      </w:r>
      <w:r>
        <w:rPr>
          <w:rFonts w:ascii="宋体" w:hAnsi="Times New Roman" w:eastAsia="宋体"/>
          <w:b w:val="false"/>
          <w:i w:val="false"/>
          <w:color w:val="000000"/>
          <w:sz w:val="22"/>
        </w:rPr>
        <w:t>领域的合作。依托鲲鹏生态的稳定技术架构和开放平台，轨物科技实现了从研发到落地的全链条创新，为光伏企业提供了可快速部署、灵活扩展的智能运维工具，助力其快速覆盖大型地面电站、分布式屋顶等多样化应用场景。</w:t>
      </w:r>
    </w:p>
    <w:bookmarkEnd w:id="15"/>
    <w:bookmarkStart w:name="u62b2aefb" w:id="16"/>
    <w:p>
      <w:pPr>
        <w:spacing w:after="50" w:line="360" w:lineRule="auto" w:beforeLines="100"/>
        <w:ind w:left="0"/>
        <w:jc w:val="left"/>
      </w:pPr>
      <w:bookmarkStart w:name="ud6458361" w:id="17"/>
      <w:r>
        <w:rPr>
          <w:rFonts w:eastAsia="宋体" w:ascii="宋体"/>
        </w:rPr>
        <w:drawing>
          <wp:inline distT="0" distB="0" distL="0" distR="0">
            <wp:extent cx="5841999" cy="2774883"/>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470534" cy="10673250"/>
                    </a:xfrm>
                    <a:prstGeom prst="rect">
                      <a:avLst/>
                    </a:prstGeom>
                  </pic:spPr>
                </pic:pic>
              </a:graphicData>
            </a:graphic>
          </wp:inline>
        </w:drawing>
      </w:r>
      <w:bookmarkEnd w:id="17"/>
    </w:p>
    <w:bookmarkEnd w:id="16"/>
    <w:bookmarkStart w:name="ub74f8ec4" w:id="18"/>
    <w:p>
      <w:pPr>
        <w:spacing w:after="50" w:line="360" w:lineRule="auto" w:beforeLines="100"/>
        <w:ind w:left="0"/>
        <w:jc w:val="left"/>
      </w:pPr>
      <w:r>
        <w:rPr>
          <w:rFonts w:ascii="宋体" w:hAnsi="Times New Roman" w:eastAsia="宋体"/>
          <w:b w:val="false"/>
          <w:i w:val="false"/>
          <w:color w:val="000000"/>
          <w:sz w:val="22"/>
        </w:rPr>
        <w:t>目前，该解决方案已在多个大型地面电站、工商业屋顶电站落地应用，获得了客户的</w:t>
      </w:r>
      <w:r>
        <w:rPr>
          <w:rFonts w:ascii="宋体" w:hAnsi="Times New Roman" w:eastAsia="宋体"/>
          <w:b/>
          <w:i w:val="false"/>
          <w:color w:val="5c8d07"/>
          <w:sz w:val="22"/>
        </w:rPr>
        <w:t>高度认可</w:t>
      </w:r>
      <w:r>
        <w:rPr>
          <w:rFonts w:ascii="宋体" w:hAnsi="Times New Roman" w:eastAsia="宋体"/>
          <w:b w:val="false"/>
          <w:i w:val="false"/>
          <w:color w:val="000000"/>
          <w:sz w:val="22"/>
        </w:rPr>
        <w:t>。未来，轨物科技将继续以技术创新为驱动，深耕光伏智能运维领域，为全球能源转型贡献“</w:t>
      </w:r>
      <w:r>
        <w:rPr>
          <w:rFonts w:ascii="宋体" w:hAnsi="Times New Roman" w:eastAsia="宋体"/>
          <w:b/>
          <w:i w:val="false"/>
          <w:color w:val="5c8d07"/>
          <w:sz w:val="22"/>
        </w:rPr>
        <w:t>中国智慧</w:t>
      </w:r>
      <w:r>
        <w:rPr>
          <w:rFonts w:ascii="宋体" w:hAnsi="Times New Roman" w:eastAsia="宋体"/>
          <w:b w:val="false"/>
          <w:i w:val="false"/>
          <w:color w:val="000000"/>
          <w:sz w:val="22"/>
        </w:rPr>
        <w:t>”与“</w:t>
      </w:r>
      <w:r>
        <w:rPr>
          <w:rFonts w:ascii="宋体" w:hAnsi="Times New Roman" w:eastAsia="宋体"/>
          <w:b/>
          <w:i w:val="false"/>
          <w:color w:val="5c8d07"/>
          <w:sz w:val="22"/>
        </w:rPr>
        <w:t>中国方案</w:t>
      </w:r>
      <w:r>
        <w:rPr>
          <w:rFonts w:ascii="宋体" w:hAnsi="Times New Roman" w:eastAsia="宋体"/>
          <w:b w:val="false"/>
          <w:i w:val="false"/>
          <w:color w:val="000000"/>
          <w:sz w:val="22"/>
        </w:rPr>
        <w:t>”。</w:t>
      </w:r>
    </w:p>
    <w:bookmarkEnd w:id="18"/>
    <w:bookmarkStart w:name="uec13012f" w:id="19"/>
    <w:p>
      <w:pPr>
        <w:spacing w:after="50" w:line="360" w:lineRule="auto" w:beforeLines="100"/>
        <w:ind w:left="0"/>
        <w:jc w:val="left"/>
      </w:pPr>
      <w:bookmarkStart w:name="u84891859" w:id="20"/>
      <w:r>
        <w:rPr>
          <w:rFonts w:eastAsia="宋体" w:ascii="宋体"/>
        </w:rPr>
        <w:drawing>
          <wp:inline distT="0" distB="0" distL="0" distR="0">
            <wp:extent cx="5842000" cy="162407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5927337" cy="26667706"/>
                    </a:xfrm>
                    <a:prstGeom prst="rect">
                      <a:avLst/>
                    </a:prstGeom>
                  </pic:spPr>
                </pic:pic>
              </a:graphicData>
            </a:graphic>
          </wp:inline>
        </w:drawing>
      </w:r>
      <w:bookmarkEnd w:id="20"/>
    </w:p>
    <w:bookmarkEnd w:id="19"/>
    <w:bookmarkStart w:name="u33cab519" w:id="21"/>
    <w:p>
      <w:pPr>
        <w:spacing w:after="50" w:line="360" w:lineRule="auto" w:beforeLines="100"/>
        <w:ind w:left="0"/>
        <w:jc w:val="left"/>
      </w:pPr>
      <w:bookmarkStart w:name="u23df1d88" w:id="22"/>
      <w:r>
        <w:rPr>
          <w:rFonts w:eastAsia="宋体" w:ascii="宋体"/>
        </w:rPr>
        <w:drawing>
          <wp:inline distT="0" distB="0" distL="0" distR="0">
            <wp:extent cx="5841999" cy="329487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4207067" cy="8012748"/>
                    </a:xfrm>
                    <a:prstGeom prst="rect">
                      <a:avLst/>
                    </a:prstGeom>
                  </pic:spPr>
                </pic:pic>
              </a:graphicData>
            </a:graphic>
          </wp:inline>
        </w:drawing>
      </w:r>
      <w:bookmarkEnd w:id="22"/>
    </w:p>
    <w:bookmarkEnd w:id="21"/>
    <w:bookmarkStart w:name="u2d29b052" w:id="23"/>
    <w:p>
      <w:pPr>
        <w:spacing w:after="50" w:line="360" w:lineRule="auto" w:beforeLines="100"/>
        <w:ind w:left="0"/>
        <w:jc w:val="left"/>
      </w:pPr>
      <w:bookmarkStart w:name="ue16fd594" w:id="24"/>
      <w:r>
        <w:rPr>
          <w:rFonts w:eastAsia="宋体" w:ascii="宋体"/>
        </w:rPr>
        <w:drawing>
          <wp:inline distT="0" distB="0" distL="0" distR="0">
            <wp:extent cx="5842000" cy="48487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487466" cy="1866421"/>
                    </a:xfrm>
                    <a:prstGeom prst="rect">
                      <a:avLst/>
                    </a:prstGeom>
                  </pic:spPr>
                </pic:pic>
              </a:graphicData>
            </a:graphic>
          </wp:inline>
        </w:drawing>
      </w:r>
      <w:bookmarkEnd w:id="24"/>
      <w:bookmarkStart w:name="u2b009a1a" w:id="25"/>
      <w:r>
        <w:rPr>
          <w:rFonts w:eastAsia="宋体" w:ascii="宋体"/>
        </w:rPr>
        <w:drawing>
          <wp:inline distT="0" distB="0" distL="0" distR="0">
            <wp:extent cx="5841999" cy="525764"/>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690666" cy="2042100"/>
                    </a:xfrm>
                    <a:prstGeom prst="rect">
                      <a:avLst/>
                    </a:prstGeom>
                  </pic:spPr>
                </pic:pic>
              </a:graphicData>
            </a:graphic>
          </wp:inline>
        </w:drawing>
      </w:r>
      <w:bookmarkEnd w:id="25"/>
    </w:p>
    <w:bookmarkEnd w:id="23"/>
    <w:bookmarkStart w:name="ueca9812b" w:id="26"/>
    <w:p>
      <w:pPr>
        <w:spacing w:after="50" w:line="360" w:lineRule="auto" w:beforeLines="100"/>
        <w:ind w:left="0"/>
        <w:jc w:val="left"/>
      </w:pPr>
      <w:bookmarkStart w:name="u0e211a65" w:id="27"/>
      <w:r>
        <w:rPr>
          <w:rFonts w:eastAsia="宋体" w:ascii="宋体"/>
        </w:rPr>
        <w:drawing>
          <wp:inline distT="0" distB="0" distL="0" distR="0">
            <wp:extent cx="5842000" cy="132027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3804800" cy="14419704"/>
                    </a:xfrm>
                    <a:prstGeom prst="rect">
                      <a:avLst/>
                    </a:prstGeom>
                  </pic:spPr>
                </pic:pic>
              </a:graphicData>
            </a:graphic>
          </wp:inline>
        </w:drawing>
      </w:r>
      <w:bookmarkEnd w:id="27"/>
      <w:bookmarkStart w:name="u221b3da0" w:id="28"/>
      <w:r>
        <w:rPr>
          <w:rFonts w:eastAsia="宋体" w:ascii="宋体"/>
        </w:rPr>
        <w:drawing>
          <wp:inline distT="0" distB="0" distL="0" distR="0">
            <wp:extent cx="5842000" cy="132027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3804800" cy="14419704"/>
                    </a:xfrm>
                    <a:prstGeom prst="rect">
                      <a:avLst/>
                    </a:prstGeom>
                  </pic:spPr>
                </pic:pic>
              </a:graphicData>
            </a:graphic>
          </wp:inline>
        </w:drawing>
      </w:r>
      <w:bookmarkEnd w:id="28"/>
      <w:bookmarkStart w:name="u8df58e40" w:id="29"/>
      <w:r>
        <w:rPr>
          <w:rFonts w:eastAsia="宋体" w:ascii="宋体"/>
        </w:rPr>
        <w:drawing>
          <wp:inline distT="0" distB="0" distL="0" distR="0">
            <wp:extent cx="5842000" cy="132027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3804800" cy="14419704"/>
                    </a:xfrm>
                    <a:prstGeom prst="rect">
                      <a:avLst/>
                    </a:prstGeom>
                  </pic:spPr>
                </pic:pic>
              </a:graphicData>
            </a:graphic>
          </wp:inline>
        </w:drawing>
      </w:r>
      <w:bookmarkEnd w:id="29"/>
      <w:bookmarkStart w:name="u38b54b9a" w:id="30"/>
      <w:r>
        <w:rPr>
          <w:rFonts w:eastAsia="宋体" w:ascii="宋体"/>
        </w:rPr>
        <w:drawing>
          <wp:inline distT="0" distB="0" distL="0" distR="0">
            <wp:extent cx="5842000" cy="132027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3804800" cy="14419704"/>
                    </a:xfrm>
                    <a:prstGeom prst="rect">
                      <a:avLst/>
                    </a:prstGeom>
                  </pic:spPr>
                </pic:pic>
              </a:graphicData>
            </a:graphic>
          </wp:inline>
        </w:drawing>
      </w:r>
      <w:bookmarkEnd w:id="30"/>
    </w:p>
    <w:bookmarkEnd w:id="26"/>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宋体" w:eastAsia="宋体"/>
      <w:b/>
      <w:bCs/>
      <w:color w:val="000000"/>
      <w:sz w:val="42"/>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宋体" w:eastAsia="宋体"/>
      <w:b/>
      <w:bCs/>
      <w:color w:val="000000"/>
      <w:sz w:val="38"/>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宋体" w:eastAsia="宋体"/>
      <w:b/>
      <w:bCs/>
      <w:color w:val="000000"/>
      <w:sz w:val="34"/>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宋体" w:eastAsia="宋体"/>
      <w:b/>
      <w:bCs/>
      <w:color w:val="000000"/>
      <w:sz w:val="30"/>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ing5">
    <w:name w:val="heading 5"/>
    <w:basedOn w:val="Normal"/>
    <w:next w:val="Normal"/>
    <w:link w:val="Heading5Char"/>
    <w:uiPriority w:val="9"/>
    <w:unhideWhenUsed/>
    <w:qFormat/>
    <w:rsid w:val="00841CD9"/>
    <w:pPr>
      <w:keepNext/>
      <w:keepLines/>
      <w:spacing w:before="200"/>
      <w:outlineLvl w:val="4"/>
    </w:pPr>
    <w:rPr>
      <w:rFonts w:ascii="宋体" w:eastAsia="宋体"/>
      <w:b/>
      <w:bCs/>
      <w:color w:val="000000"/>
      <w:sz w:val="28"/>
    </w:rPr>
  </w:style>
  <w:style w:type="paragraph" w:styleId="ne-codeblock"/>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media/document_image_rId10.png" Type="http://schemas.openxmlformats.org/officeDocument/2006/relationships/image"/><Relationship Id="rId11" Target="media/document_image_rId11.png" Type="http://schemas.openxmlformats.org/officeDocument/2006/relationships/image"/><Relationship Id="rId12" Target="media/document_image_rId12.png" Type="http://schemas.openxmlformats.org/officeDocument/2006/relationships/image"/><Relationship Id="rId13" Target="media/document_image_rId13.png" Type="http://schemas.openxmlformats.org/officeDocument/2006/relationships/image"/><Relationship Id="rId14" Target="media/document_image_rId14.png" Type="http://schemas.openxmlformats.org/officeDocument/2006/relationships/image"/><Relationship Id="rId15" Target="media/document_image_rId15.png" Type="http://schemas.openxmlformats.org/officeDocument/2006/relationships/image"/><Relationship Id="rId16" Target="media/document_image_rId16.png" Type="http://schemas.openxmlformats.org/officeDocument/2006/relationships/image"/><Relationship Id="rId17" Target="media/document_image_rId17.png" Type="http://schemas.openxmlformats.org/officeDocument/2006/relationships/image"/><Relationship Id="rId2" Target="settings.xml" Type="http://schemas.openxmlformats.org/officeDocument/2006/relationships/settings"/><Relationship Id="rId3" Target="numbering.xml" Type="http://schemas.openxmlformats.org/officeDocument/2006/relationships/numbering"/><Relationship Id="rId4" Target="media/document_image_rId4.png" Type="http://schemas.openxmlformats.org/officeDocument/2006/relationships/image"/><Relationship Id="rId5" Target="media/document_image_rId5.png" Type="http://schemas.openxmlformats.org/officeDocument/2006/relationships/image"/><Relationship Id="rId6" Target="media/document_image_rId6.png" Type="http://schemas.openxmlformats.org/officeDocument/2006/relationships/image"/><Relationship Id="rId7" Target="media/document_image_rId7.png" Type="http://schemas.openxmlformats.org/officeDocument/2006/relationships/image"/><Relationship Id="rId8" Target="media/document_image_rId8.png" Type="http://schemas.openxmlformats.org/officeDocument/2006/relationships/image"/><Relationship Id="rId9" Target="media/document_image_rId9.png" Type="http://schemas.openxmlformats.org/officeDocument/2006/relationships/image"/></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http://purl.org/dc/elements/1.1/" xmlns:dcterms="http://purl.org/dc/terms/" xmlns:xsi="http://www.w3.org/2001/XMLSchema-instance"/>
</file>