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BBBDE">
      <w:pPr>
        <w:pStyle w:val="2"/>
        <w:spacing w:beforeLines="100" w:after="50" w:line="360" w:lineRule="auto"/>
        <w:ind w:left="0"/>
        <w:jc w:val="left"/>
      </w:pPr>
      <w:bookmarkStart w:id="75" w:name="_GoBack"/>
      <w:bookmarkEnd w:id="75"/>
      <w:r>
        <w:rPr>
          <w:rFonts w:ascii="宋体" w:hAnsi="Times New Roman" w:eastAsia="宋体"/>
        </w:rPr>
        <w:t>【轨物洞见】告别“被动维修”！预测性运维如何重塑老旧电站的资产价值？</w:t>
      </w:r>
    </w:p>
    <w:p w14:paraId="234B991A">
      <w:pPr>
        <w:pStyle w:val="2"/>
        <w:spacing w:beforeLines="100" w:after="50" w:line="360" w:lineRule="auto"/>
        <w:ind w:left="0"/>
        <w:jc w:val="left"/>
      </w:pPr>
      <w:bookmarkStart w:id="0" w:name="QsLME"/>
      <w:bookmarkStart w:id="1" w:name="gQMqW"/>
      <w:r>
        <w:rPr>
          <w:rFonts w:ascii="宋体" w:eastAsia="宋体"/>
        </w:rPr>
        <w:drawing>
          <wp:inline distT="0" distB="0" distL="0" distR="0">
            <wp:extent cx="5842000" cy="3790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bookmarkEnd w:id="1"/>
    <w:p w14:paraId="79F4B511">
      <w:pPr>
        <w:spacing w:beforeLines="100" w:after="50" w:line="360" w:lineRule="auto"/>
        <w:ind w:left="0"/>
        <w:jc w:val="left"/>
      </w:pPr>
      <w:bookmarkStart w:id="2" w:name="iGldr"/>
      <w:bookmarkStart w:id="3" w:name="ua3536de1"/>
      <w:r>
        <w:rPr>
          <w:rFonts w:ascii="宋体" w:eastAsia="宋体"/>
        </w:rPr>
        <w:drawing>
          <wp:inline distT="0" distB="0" distL="0" distR="0">
            <wp:extent cx="5842000" cy="3676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3"/>
    <w:p w14:paraId="448C2178">
      <w:pPr>
        <w:spacing w:beforeLines="100" w:after="50" w:line="360" w:lineRule="auto"/>
        <w:ind w:left="0"/>
        <w:jc w:val="left"/>
      </w:pPr>
      <w:bookmarkStart w:id="4" w:name="u8236971e"/>
      <w:bookmarkStart w:id="5" w:name="u9632e20a"/>
      <w:r>
        <w:rPr>
          <w:rFonts w:ascii="宋体" w:eastAsia="宋体"/>
        </w:rPr>
        <w:drawing>
          <wp:inline distT="0" distB="0" distL="0" distR="0">
            <wp:extent cx="5842000" cy="13138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196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5"/>
    <w:p w14:paraId="1D005B20">
      <w:pPr>
        <w:spacing w:beforeLines="100" w:after="50" w:line="360" w:lineRule="auto"/>
        <w:ind w:left="0"/>
        <w:jc w:val="left"/>
      </w:pPr>
      <w:bookmarkStart w:id="6" w:name="a729e174a05dd409b19e516480cc98a8"/>
      <w:r>
        <w:rPr>
          <w:rFonts w:ascii="宋体" w:hAnsi="Times New Roman" w:eastAsia="宋体"/>
          <w:b w:val="0"/>
          <w:i w:val="0"/>
          <w:color w:val="000000"/>
          <w:sz w:val="22"/>
        </w:rPr>
        <w:t>中国光伏产业正步入一个关键的资产管理周期。截至“十四五”末期，运行超过10年（2014年底前建成）的老旧电站规模已达19.5GW。在土地资源与并网容量日益稀缺的背景下，早期因设计不规范、组件性能衰减（如隐裂、PID效应）以及设备老化导致的度电成本（LCOE）抬升，正成为运维商沉重的现金流负担。</w:t>
      </w:r>
    </w:p>
    <w:bookmarkEnd w:id="6"/>
    <w:p w14:paraId="781560F9">
      <w:pPr>
        <w:spacing w:beforeLines="100" w:after="50" w:line="360" w:lineRule="auto"/>
        <w:ind w:left="0"/>
        <w:jc w:val="left"/>
      </w:pPr>
      <w:bookmarkStart w:id="7" w:name="68b45dab4d7419c2f00781ee70c1136c"/>
      <w:r>
        <w:rPr>
          <w:rFonts w:ascii="宋体" w:hAnsi="Times New Roman" w:eastAsia="宋体"/>
          <w:b w:val="0"/>
          <w:i w:val="0"/>
          <w:color w:val="000000"/>
          <w:sz w:val="22"/>
        </w:rPr>
        <w:t>单纯的“</w:t>
      </w:r>
      <w:r>
        <w:rPr>
          <w:rFonts w:ascii="宋体" w:hAnsi="Times New Roman" w:eastAsia="宋体"/>
          <w:b/>
          <w:i w:val="0"/>
          <w:color w:val="07787E"/>
          <w:sz w:val="22"/>
        </w:rPr>
        <w:t>被动维修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”已无法阻止资产流失，唯有通过技改实现资产增值。杭州轨物科技凭借深厚的“产学研用”一体化生态，已服务超过200家企业，创造了超千亿元的累计经济效益。我们认为，技改的第一步，必须建立在基于设备残余寿命（RUL）评估的精准数字化诊断之上。</w:t>
      </w:r>
    </w:p>
    <w:bookmarkEnd w:id="7"/>
    <w:p w14:paraId="096988A7">
      <w:pPr>
        <w:spacing w:beforeLines="100" w:after="50" w:line="360" w:lineRule="auto"/>
        <w:ind w:left="0"/>
        <w:jc w:val="left"/>
      </w:pPr>
      <w:bookmarkStart w:id="8" w:name="u7951aef6"/>
      <w:bookmarkStart w:id="9" w:name="u391e2bee"/>
      <w:r>
        <w:rPr>
          <w:rFonts w:ascii="宋体" w:eastAsia="宋体"/>
        </w:rPr>
        <w:t>[MISSING IMAGE: ,  ]</w:t>
      </w:r>
      <w:bookmarkEnd w:id="8"/>
    </w:p>
    <w:bookmarkEnd w:id="9"/>
    <w:p w14:paraId="5D218F30">
      <w:pPr>
        <w:spacing w:beforeLines="100" w:after="50" w:line="360" w:lineRule="auto"/>
        <w:ind w:left="0"/>
        <w:jc w:val="left"/>
      </w:pPr>
      <w:bookmarkStart w:id="10" w:name="lS0Ye"/>
      <w:bookmarkStart w:id="11" w:name="u1927a540"/>
      <w:r>
        <w:rPr>
          <w:rFonts w:ascii="宋体" w:eastAsia="宋体"/>
        </w:rPr>
        <w:drawing>
          <wp:inline distT="0" distB="0" distL="0" distR="0">
            <wp:extent cx="5841365" cy="13785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11"/>
    <w:p w14:paraId="23313379">
      <w:pPr>
        <w:spacing w:beforeLines="100" w:after="50" w:line="360" w:lineRule="auto"/>
        <w:ind w:left="0"/>
        <w:jc w:val="left"/>
      </w:pPr>
      <w:bookmarkStart w:id="12" w:name="6c5345331b1473e9f0de0d36b68d4a31"/>
      <w:r>
        <w:rPr>
          <w:rFonts w:ascii="宋体" w:hAnsi="Times New Roman" w:eastAsia="宋体"/>
          <w:b w:val="0"/>
          <w:i w:val="0"/>
          <w:color w:val="000000"/>
          <w:sz w:val="22"/>
        </w:rPr>
        <w:t>对老旧电站的资产评估需通过“设备健康度+退化建模+经济测算”三线并行。我们通过对各项指标进行归一化处理，构建了0-100分的健康量化评分体系，以识别“技术阈值”与“经济阈值”：</w:t>
      </w:r>
    </w:p>
    <w:bookmarkEnd w:id="12"/>
    <w:p w14:paraId="58960B52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13" w:name="a078bbb6dce983f66dc86a27de9a7f3a"/>
      <w:r>
        <w:rPr>
          <w:rFonts w:ascii="宋体" w:hAnsi="Times New Roman" w:eastAsia="宋体"/>
          <w:b/>
          <w:i w:val="0"/>
          <w:color w:val="07787E"/>
          <w:sz w:val="22"/>
        </w:rPr>
        <w:t>指标体系维度：</w:t>
      </w:r>
    </w:p>
    <w:bookmarkEnd w:id="13"/>
    <w:p w14:paraId="659BEA41">
      <w:pPr>
        <w:numPr>
          <w:ilvl w:val="1"/>
          <w:numId w:val="2"/>
        </w:numPr>
        <w:spacing w:beforeLines="100" w:after="50" w:line="360" w:lineRule="auto"/>
        <w:ind w:left="720"/>
        <w:jc w:val="left"/>
      </w:pPr>
      <w:bookmarkStart w:id="14" w:name="3d030429f27a24aff141a752e8239948"/>
      <w:r>
        <w:rPr>
          <w:rFonts w:ascii="宋体" w:hAnsi="Times New Roman" w:eastAsia="宋体"/>
          <w:b/>
          <w:i w:val="0"/>
          <w:color w:val="07787E"/>
          <w:sz w:val="22"/>
        </w:rPr>
        <w:t>组件层（核心资产）：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监测输出功率保持率、填充因子（FF）、IV曲线形态及热斑分布。通过裂隙效应系数（k）量化功率损失：P_{loss} = k \cdot A_{crack} \cdot \eta_{comp}（其中A_{crack}为裂纹面积，\eta_{comp}为组件效率）。</w:t>
      </w:r>
    </w:p>
    <w:bookmarkEnd w:id="14"/>
    <w:p w14:paraId="1FCFE21D">
      <w:pPr>
        <w:numPr>
          <w:ilvl w:val="1"/>
          <w:numId w:val="2"/>
        </w:numPr>
        <w:spacing w:beforeLines="100" w:after="50" w:line="360" w:lineRule="auto"/>
        <w:ind w:left="720"/>
        <w:jc w:val="left"/>
      </w:pPr>
      <w:bookmarkStart w:id="15" w:name="ef8d01c1e5d4da4fa2e172d606657810"/>
      <w:r>
        <w:rPr>
          <w:rFonts w:ascii="宋体" w:hAnsi="Times New Roman" w:eastAsia="宋体"/>
          <w:b/>
          <w:i w:val="0"/>
          <w:color w:val="07787E"/>
          <w:sz w:val="22"/>
        </w:rPr>
        <w:t>逆变器层（能量转换）：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评估故障率、MPPT效率、电能质量（谐波及功率因数）及运行温度稳定性。</w:t>
      </w:r>
    </w:p>
    <w:bookmarkEnd w:id="15"/>
    <w:p w14:paraId="165515DC">
      <w:pPr>
        <w:numPr>
          <w:ilvl w:val="1"/>
          <w:numId w:val="2"/>
        </w:numPr>
        <w:spacing w:beforeLines="100" w:after="50" w:line="360" w:lineRule="auto"/>
        <w:ind w:left="720"/>
        <w:jc w:val="left"/>
      </w:pPr>
      <w:bookmarkStart w:id="16" w:name="7208212ae606030414303d37f6eb00ae"/>
      <w:r>
        <w:rPr>
          <w:rFonts w:ascii="宋体" w:hAnsi="Times New Roman" w:eastAsia="宋体"/>
          <w:b/>
          <w:i w:val="0"/>
          <w:color w:val="07787E"/>
          <w:sz w:val="22"/>
        </w:rPr>
        <w:t>系统与环境层：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采集PR（系统效率）、故障停机率以及风沙/积尘对辐照度的阻断。</w:t>
      </w:r>
    </w:p>
    <w:bookmarkEnd w:id="16"/>
    <w:p w14:paraId="0BF56FBF">
      <w:pPr>
        <w:numPr>
          <w:ilvl w:val="0"/>
          <w:numId w:val="3"/>
        </w:numPr>
        <w:spacing w:beforeLines="100" w:after="50" w:line="360" w:lineRule="auto"/>
        <w:ind w:left="360"/>
        <w:jc w:val="left"/>
      </w:pPr>
      <w:bookmarkStart w:id="17" w:name="ea7bf07f6b215d4203cdc5c76e819f25"/>
      <w:r>
        <w:rPr>
          <w:rFonts w:ascii="宋体" w:hAnsi="Times New Roman" w:eastAsia="宋体"/>
          <w:b/>
          <w:i w:val="0"/>
          <w:color w:val="07787E"/>
          <w:sz w:val="22"/>
        </w:rPr>
        <w:t>分级决策逻辑：</w:t>
      </w:r>
    </w:p>
    <w:bookmarkEnd w:id="17"/>
    <w:p w14:paraId="09ABBFDB">
      <w:pPr>
        <w:numPr>
          <w:ilvl w:val="1"/>
          <w:numId w:val="4"/>
        </w:numPr>
        <w:spacing w:beforeLines="100" w:after="50" w:line="360" w:lineRule="auto"/>
        <w:ind w:left="720"/>
        <w:jc w:val="left"/>
      </w:pPr>
      <w:bookmarkStart w:id="18" w:name="34045fc2d4e00c00d534d92b36f465a0"/>
      <w:r>
        <w:rPr>
          <w:rFonts w:ascii="宋体" w:hAnsi="Times New Roman" w:eastAsia="宋体"/>
          <w:b/>
          <w:i w:val="0"/>
          <w:color w:val="07787E"/>
          <w:sz w:val="22"/>
        </w:rPr>
        <w:t>评分 &lt; 50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技术寿命接近极限，建议整体重构。</w:t>
      </w:r>
    </w:p>
    <w:bookmarkEnd w:id="18"/>
    <w:p w14:paraId="551716FC">
      <w:pPr>
        <w:numPr>
          <w:ilvl w:val="1"/>
          <w:numId w:val="4"/>
        </w:numPr>
        <w:spacing w:beforeLines="100" w:after="50" w:line="360" w:lineRule="auto"/>
        <w:ind w:left="720"/>
        <w:jc w:val="left"/>
      </w:pPr>
      <w:bookmarkStart w:id="19" w:name="3750ffed6f24350d6e83982de0416371"/>
      <w:r>
        <w:rPr>
          <w:rFonts w:ascii="宋体" w:hAnsi="Times New Roman" w:eastAsia="宋体"/>
          <w:b/>
          <w:i w:val="0"/>
          <w:color w:val="07787E"/>
          <w:sz w:val="22"/>
        </w:rPr>
        <w:t>50 - 70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重度退化，需开展“效益型技改”或“生产型技改”。</w:t>
      </w:r>
    </w:p>
    <w:bookmarkEnd w:id="19"/>
    <w:p w14:paraId="1680E678">
      <w:pPr>
        <w:numPr>
          <w:ilvl w:val="1"/>
          <w:numId w:val="4"/>
        </w:numPr>
        <w:spacing w:beforeLines="100" w:after="50" w:line="360" w:lineRule="auto"/>
        <w:ind w:left="720"/>
        <w:jc w:val="left"/>
      </w:pPr>
      <w:bookmarkStart w:id="20" w:name="9b268d7ba05e315e893f40808b5877b6"/>
      <w:r>
        <w:rPr>
          <w:rFonts w:ascii="宋体" w:hAnsi="Times New Roman" w:eastAsia="宋体"/>
          <w:b/>
          <w:i w:val="0"/>
          <w:color w:val="07787E"/>
          <w:sz w:val="22"/>
        </w:rPr>
        <w:t>70 - 90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轻度退化，实施预测性维护以延长RUL。</w:t>
      </w:r>
    </w:p>
    <w:bookmarkEnd w:id="20"/>
    <w:p w14:paraId="0B394A8D">
      <w:pPr>
        <w:spacing w:beforeLines="100" w:after="50" w:line="360" w:lineRule="auto"/>
        <w:ind w:left="0"/>
        <w:jc w:val="left"/>
      </w:pPr>
      <w:bookmarkStart w:id="21" w:name="a62bJ"/>
      <w:bookmarkStart w:id="22" w:name="u9bbf202b"/>
      <w:r>
        <w:rPr>
          <w:rFonts w:ascii="宋体" w:eastAsia="宋体"/>
        </w:rPr>
        <w:drawing>
          <wp:inline distT="0" distB="0" distL="0" distR="0">
            <wp:extent cx="5842000" cy="13430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20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2"/>
    <w:p w14:paraId="58C0F34E">
      <w:pPr>
        <w:spacing w:beforeLines="100" w:after="50" w:line="360" w:lineRule="auto"/>
        <w:ind w:left="0"/>
        <w:jc w:val="left"/>
      </w:pPr>
      <w:bookmarkStart w:id="23" w:name="cc5a5f2e7f8c1ea8134277a14e863b6d"/>
      <w:r>
        <w:rPr>
          <w:rFonts w:ascii="宋体" w:hAnsi="Times New Roman" w:eastAsia="宋体"/>
          <w:b w:val="0"/>
          <w:i w:val="0"/>
          <w:color w:val="000000"/>
          <w:sz w:val="22"/>
        </w:rPr>
        <w:t>杭州轨物科技提供的“传感器+智能硬件+AI软件”闭环，实现了从物理状态感知到决策输出的毫秒级响应。</w:t>
      </w:r>
    </w:p>
    <w:bookmarkEnd w:id="23"/>
    <w:p w14:paraId="1DD5314B">
      <w:pPr>
        <w:numPr>
          <w:ilvl w:val="0"/>
          <w:numId w:val="5"/>
        </w:numPr>
        <w:spacing w:beforeLines="100" w:after="50" w:line="360" w:lineRule="auto"/>
        <w:ind w:left="360"/>
        <w:jc w:val="left"/>
      </w:pPr>
      <w:bookmarkStart w:id="24" w:name="ed195312752e3c0350ea9a8b3aaf3ad5"/>
      <w:r>
        <w:rPr>
          <w:rFonts w:ascii="宋体" w:hAnsi="Times New Roman" w:eastAsia="宋体"/>
          <w:b/>
          <w:i w:val="0"/>
          <w:color w:val="07787E"/>
          <w:sz w:val="22"/>
        </w:rPr>
        <w:t>智能硬件层（装备数字化）：</w:t>
      </w:r>
    </w:p>
    <w:bookmarkEnd w:id="24"/>
    <w:p w14:paraId="0BCAD6EF">
      <w:pPr>
        <w:numPr>
          <w:ilvl w:val="1"/>
          <w:numId w:val="6"/>
        </w:numPr>
        <w:spacing w:beforeLines="100" w:after="50" w:line="360" w:lineRule="auto"/>
        <w:ind w:left="720"/>
        <w:jc w:val="left"/>
      </w:pPr>
      <w:bookmarkStart w:id="25" w:name="d69b5a7eb8c32f3aae86c4a90526ff13"/>
      <w:r>
        <w:rPr>
          <w:rFonts w:ascii="宋体" w:hAnsi="Times New Roman" w:eastAsia="宋体"/>
          <w:b/>
          <w:i w:val="0"/>
          <w:color w:val="07787E"/>
          <w:sz w:val="22"/>
        </w:rPr>
        <w:t>精准检测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采用</w:t>
      </w:r>
      <w:r>
        <w:rPr>
          <w:rFonts w:ascii="宋体" w:hAnsi="Times New Roman" w:eastAsia="宋体"/>
          <w:b/>
          <w:i w:val="0"/>
          <w:color w:val="07787E"/>
          <w:sz w:val="22"/>
        </w:rPr>
        <w:t>EC120型便携式EL成像系统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，分辨率达0.1mm，配合</w:t>
      </w:r>
      <w:r>
        <w:rPr>
          <w:rFonts w:ascii="宋体" w:hAnsi="Times New Roman" w:eastAsia="宋体"/>
          <w:b/>
          <w:i w:val="0"/>
          <w:color w:val="07787E"/>
          <w:sz w:val="22"/>
        </w:rPr>
        <w:t>DJI Matrice 300无人机搭载Zenmuse XT2热成像模块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，实现全站缺陷100%覆盖。</w:t>
      </w:r>
    </w:p>
    <w:bookmarkEnd w:id="25"/>
    <w:p w14:paraId="0C53F876">
      <w:pPr>
        <w:numPr>
          <w:ilvl w:val="1"/>
          <w:numId w:val="6"/>
        </w:numPr>
        <w:spacing w:beforeLines="100" w:after="50" w:line="360" w:lineRule="auto"/>
        <w:ind w:left="720"/>
        <w:jc w:val="left"/>
      </w:pPr>
      <w:bookmarkStart w:id="26" w:name="b7e969329ff105e46cf6428a2ce77128"/>
      <w:r>
        <w:rPr>
          <w:rFonts w:ascii="宋体" w:hAnsi="Times New Roman" w:eastAsia="宋体"/>
          <w:b/>
          <w:i w:val="0"/>
          <w:color w:val="07787E"/>
          <w:sz w:val="22"/>
        </w:rPr>
        <w:t>环境适应性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应用</w:t>
      </w:r>
      <w:r>
        <w:rPr>
          <w:rFonts w:ascii="宋体" w:hAnsi="Times New Roman" w:eastAsia="宋体"/>
          <w:b/>
          <w:i w:val="0"/>
          <w:color w:val="07787E"/>
          <w:sz w:val="22"/>
        </w:rPr>
        <w:t>3M Solar Dust-Guard疏水涂层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，并集成</w:t>
      </w:r>
      <w:r>
        <w:rPr>
          <w:rFonts w:ascii="宋体" w:hAnsi="Times New Roman" w:eastAsia="宋体"/>
          <w:b/>
          <w:i w:val="0"/>
          <w:color w:val="07787E"/>
          <w:sz w:val="22"/>
        </w:rPr>
        <w:t>KUKA KR Agilus机器人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自动化清洁系统，有效降低灰尘引起的发电损失。</w:t>
      </w:r>
    </w:p>
    <w:bookmarkEnd w:id="26"/>
    <w:p w14:paraId="036392DE">
      <w:pPr>
        <w:numPr>
          <w:ilvl w:val="1"/>
          <w:numId w:val="6"/>
        </w:numPr>
        <w:spacing w:beforeLines="100" w:after="50" w:line="360" w:lineRule="auto"/>
        <w:ind w:left="720"/>
        <w:jc w:val="left"/>
      </w:pPr>
      <w:bookmarkStart w:id="27" w:name="aa02007b501aa60a738297580294b041"/>
      <w:r>
        <w:rPr>
          <w:rFonts w:ascii="宋体" w:hAnsi="Times New Roman" w:eastAsia="宋体"/>
          <w:b/>
          <w:i w:val="0"/>
          <w:color w:val="07787E"/>
          <w:sz w:val="22"/>
        </w:rPr>
        <w:t>高性能数采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基于Keysight N8700系列传感器，数据传输速率达</w:t>
      </w:r>
      <w:r>
        <w:rPr>
          <w:rFonts w:ascii="宋体" w:hAnsi="Times New Roman" w:eastAsia="宋体"/>
          <w:b/>
          <w:i w:val="0"/>
          <w:color w:val="07787E"/>
          <w:sz w:val="22"/>
        </w:rPr>
        <w:t>1.82MB/s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。</w:t>
      </w:r>
    </w:p>
    <w:bookmarkEnd w:id="27"/>
    <w:p w14:paraId="4FA5C53A">
      <w:pPr>
        <w:numPr>
          <w:ilvl w:val="0"/>
          <w:numId w:val="7"/>
        </w:numPr>
        <w:spacing w:beforeLines="100" w:after="50" w:line="360" w:lineRule="auto"/>
        <w:ind w:left="360"/>
        <w:jc w:val="left"/>
      </w:pPr>
      <w:bookmarkStart w:id="28" w:name="33261dfb92ba55b7b3956cab48e50751"/>
      <w:r>
        <w:rPr>
          <w:rFonts w:ascii="宋体" w:hAnsi="Times New Roman" w:eastAsia="宋体"/>
          <w:b/>
          <w:i w:val="0"/>
          <w:color w:val="07787E"/>
          <w:sz w:val="22"/>
        </w:rPr>
        <w:t>智慧软件层（预测性运维）：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系统基于</w:t>
      </w:r>
      <w:r>
        <w:rPr>
          <w:rFonts w:ascii="宋体" w:hAnsi="Times New Roman" w:eastAsia="宋体"/>
          <w:b/>
          <w:i w:val="0"/>
          <w:color w:val="07787E"/>
          <w:sz w:val="22"/>
        </w:rPr>
        <w:t>TensorFlow 2.0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深度学习架构，融合随机森林与卷积神经网络（CNN）模型。通过对电压、电流、功率因数等特征值的实时分析，实现定位误差控制在</w:t>
      </w:r>
      <w:r>
        <w:rPr>
          <w:rFonts w:ascii="宋体" w:hAnsi="Times New Roman" w:eastAsia="宋体"/>
          <w:b/>
          <w:i w:val="0"/>
          <w:color w:val="07787E"/>
          <w:sz w:val="22"/>
        </w:rPr>
        <w:t>0.1m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内的故障诊断。</w:t>
      </w:r>
    </w:p>
    <w:bookmarkEnd w:id="28"/>
    <w:p w14:paraId="5F5649BB">
      <w:pPr>
        <w:spacing w:beforeLines="100" w:after="50" w:line="360" w:lineRule="auto"/>
        <w:ind w:left="0"/>
        <w:jc w:val="left"/>
      </w:pPr>
      <w:bookmarkStart w:id="29" w:name="udcdf1db9"/>
      <w:bookmarkStart w:id="30" w:name="uaaee4dc5"/>
      <w:r>
        <w:rPr>
          <w:rFonts w:ascii="宋体" w:eastAsia="宋体"/>
        </w:rPr>
        <w:drawing>
          <wp:inline distT="0" distB="0" distL="0" distR="0">
            <wp:extent cx="5841365" cy="32708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65332" cy="248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30"/>
    <w:p w14:paraId="494B6135">
      <w:pPr>
        <w:spacing w:beforeLines="100" w:after="50" w:line="360" w:lineRule="auto"/>
        <w:ind w:left="0"/>
        <w:jc w:val="left"/>
      </w:pPr>
      <w:bookmarkStart w:id="31" w:name="0c93dcd67f808e4e8bae9e1a43a78fbb"/>
      <w:r>
        <w:rPr>
          <w:rFonts w:ascii="宋体" w:hAnsi="Times New Roman" w:eastAsia="宋体"/>
          <w:b/>
          <w:i w:val="0"/>
          <w:color w:val="07787E"/>
          <w:sz w:val="22"/>
        </w:rPr>
        <w:t>核心竞争力对比表：</w:t>
      </w:r>
    </w:p>
    <w:bookmarkEnd w:id="31"/>
    <w:p w14:paraId="72CE115C">
      <w:pPr>
        <w:spacing w:beforeLines="100" w:after="50" w:line="360" w:lineRule="auto"/>
        <w:ind w:left="0"/>
        <w:jc w:val="left"/>
      </w:pPr>
      <w:bookmarkStart w:id="32" w:name="u5ba68967"/>
      <w:bookmarkStart w:id="33" w:name="uc171889f"/>
      <w:r>
        <w:rPr>
          <w:rFonts w:ascii="宋体" w:eastAsia="宋体"/>
        </w:rPr>
        <w:drawing>
          <wp:inline distT="0" distB="0" distL="0" distR="0">
            <wp:extent cx="5842000" cy="15443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3"/>
    <w:p w14:paraId="415E212A">
      <w:pPr>
        <w:spacing w:beforeLines="100" w:after="50" w:line="360" w:lineRule="auto"/>
        <w:ind w:left="0"/>
        <w:jc w:val="left"/>
      </w:pPr>
      <w:bookmarkStart w:id="34" w:name="Gtfa3"/>
      <w:bookmarkStart w:id="35" w:name="u085e88e1"/>
      <w:r>
        <w:rPr>
          <w:rFonts w:ascii="宋体" w:eastAsia="宋体"/>
        </w:rPr>
        <w:drawing>
          <wp:inline distT="0" distB="0" distL="0" distR="0">
            <wp:extent cx="5842000" cy="1308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5"/>
    <w:p w14:paraId="780CA94A">
      <w:pPr>
        <w:spacing w:beforeLines="100" w:after="50" w:line="360" w:lineRule="auto"/>
        <w:ind w:left="0"/>
        <w:jc w:val="left"/>
      </w:pPr>
      <w:bookmarkStart w:id="36" w:name="8f04dc3d6743f50404b40dde7bf31631"/>
      <w:r>
        <w:rPr>
          <w:rFonts w:ascii="宋体" w:hAnsi="Times New Roman" w:eastAsia="宋体"/>
          <w:b w:val="0"/>
          <w:i w:val="0"/>
          <w:color w:val="000000"/>
          <w:sz w:val="22"/>
        </w:rPr>
        <w:t>在不触碰“红线约束”（不改变用地边界、不突破核准容量、不改变并网电压等级）的前提下，我们执行四步走策略：</w:t>
      </w:r>
    </w:p>
    <w:bookmarkEnd w:id="36"/>
    <w:p w14:paraId="742329B2">
      <w:pPr>
        <w:numPr>
          <w:ilvl w:val="0"/>
          <w:numId w:val="8"/>
        </w:numPr>
        <w:spacing w:beforeLines="100" w:after="50" w:line="360" w:lineRule="auto"/>
        <w:ind w:left="360"/>
        <w:jc w:val="left"/>
      </w:pPr>
      <w:bookmarkStart w:id="37" w:name="419963a410f84d886b0d492964526e5c"/>
      <w:r>
        <w:rPr>
          <w:rFonts w:ascii="宋体" w:hAnsi="Times New Roman" w:eastAsia="宋体"/>
          <w:b/>
          <w:i w:val="0"/>
          <w:color w:val="07787E"/>
          <w:sz w:val="22"/>
        </w:rPr>
        <w:t>全站数字评估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利用高精度传感器网络进行RUL分析，划定局部替换或整体更新的边界。</w:t>
      </w:r>
    </w:p>
    <w:bookmarkEnd w:id="37"/>
    <w:p w14:paraId="0DF8C49B">
      <w:pPr>
        <w:numPr>
          <w:ilvl w:val="0"/>
          <w:numId w:val="8"/>
        </w:numPr>
        <w:spacing w:beforeLines="100" w:after="50" w:line="360" w:lineRule="auto"/>
        <w:ind w:left="360"/>
        <w:jc w:val="left"/>
      </w:pPr>
      <w:bookmarkStart w:id="38" w:name="ac96f2e05739ca80029c76b0db6d4164"/>
      <w:r>
        <w:rPr>
          <w:rFonts w:ascii="宋体" w:hAnsi="Times New Roman" w:eastAsia="宋体"/>
          <w:b/>
          <w:i w:val="0"/>
          <w:color w:val="07787E"/>
          <w:sz w:val="22"/>
        </w:rPr>
        <w:t>量化技改目标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设定“PR提升10-20%”、“故障停机降低50%”等硬性KPI。</w:t>
      </w:r>
    </w:p>
    <w:bookmarkEnd w:id="38"/>
    <w:p w14:paraId="337EC3F1">
      <w:pPr>
        <w:numPr>
          <w:ilvl w:val="0"/>
          <w:numId w:val="8"/>
        </w:numPr>
        <w:spacing w:beforeLines="100" w:after="50" w:line="360" w:lineRule="auto"/>
        <w:ind w:left="360"/>
        <w:jc w:val="left"/>
      </w:pPr>
      <w:bookmarkStart w:id="39" w:name="6c5e7eb5739d726bb1e98b2135d218d5"/>
      <w:r>
        <w:rPr>
          <w:rFonts w:ascii="宋体" w:hAnsi="Times New Roman" w:eastAsia="宋体"/>
          <w:b/>
          <w:i w:val="0"/>
          <w:color w:val="07787E"/>
          <w:sz w:val="22"/>
        </w:rPr>
        <w:t>分类型方案组合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</w:p>
    <w:bookmarkEnd w:id="39"/>
    <w:p w14:paraId="56ECC912">
      <w:pPr>
        <w:numPr>
          <w:ilvl w:val="1"/>
          <w:numId w:val="9"/>
        </w:numPr>
        <w:spacing w:beforeLines="100" w:after="50" w:line="360" w:lineRule="auto"/>
        <w:ind w:left="720"/>
        <w:jc w:val="left"/>
      </w:pPr>
      <w:bookmarkStart w:id="40" w:name="89dda98ac85430688bf0204040a1752a"/>
      <w:r>
        <w:rPr>
          <w:rFonts w:ascii="宋体" w:hAnsi="Times New Roman" w:eastAsia="宋体"/>
          <w:b/>
          <w:i w:val="0"/>
          <w:color w:val="07787E"/>
          <w:sz w:val="22"/>
        </w:rPr>
        <w:t>效益型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更换23.2%效率的PERC组件，提升容配比。</w:t>
      </w:r>
    </w:p>
    <w:bookmarkEnd w:id="40"/>
    <w:p w14:paraId="60A6C78D">
      <w:pPr>
        <w:numPr>
          <w:ilvl w:val="1"/>
          <w:numId w:val="9"/>
        </w:numPr>
        <w:spacing w:beforeLines="100" w:after="50" w:line="360" w:lineRule="auto"/>
        <w:ind w:left="720"/>
        <w:jc w:val="left"/>
      </w:pPr>
      <w:bookmarkStart w:id="41" w:name="b76a3997ca2f8aef8051c192b941dedc"/>
      <w:r>
        <w:rPr>
          <w:rFonts w:ascii="宋体" w:hAnsi="Times New Roman" w:eastAsia="宋体"/>
          <w:b/>
          <w:i w:val="0"/>
          <w:color w:val="07787E"/>
          <w:sz w:val="22"/>
        </w:rPr>
        <w:t>生产型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升级AGC/AVC系统，配置新型BMS（电池管理系统）。</w:t>
      </w:r>
    </w:p>
    <w:bookmarkEnd w:id="41"/>
    <w:p w14:paraId="15C00A8E">
      <w:pPr>
        <w:numPr>
          <w:ilvl w:val="1"/>
          <w:numId w:val="9"/>
        </w:numPr>
        <w:spacing w:beforeLines="100" w:after="50" w:line="360" w:lineRule="auto"/>
        <w:ind w:left="720"/>
        <w:jc w:val="left"/>
      </w:pPr>
      <w:bookmarkStart w:id="42" w:name="a0485db44460d6fa8b488fba5fb8b099"/>
      <w:r>
        <w:rPr>
          <w:rFonts w:ascii="宋体" w:hAnsi="Times New Roman" w:eastAsia="宋体"/>
          <w:b/>
          <w:i w:val="0"/>
          <w:color w:val="07787E"/>
          <w:sz w:val="22"/>
        </w:rPr>
        <w:t>安全型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改造老化电缆与散热结构（液冷CoolFlow散热效率提升30%以上）。</w:t>
      </w:r>
    </w:p>
    <w:bookmarkEnd w:id="42"/>
    <w:p w14:paraId="12006412">
      <w:pPr>
        <w:numPr>
          <w:ilvl w:val="0"/>
          <w:numId w:val="10"/>
        </w:numPr>
        <w:spacing w:beforeLines="100" w:after="50" w:line="360" w:lineRule="auto"/>
        <w:ind w:left="360"/>
        <w:jc w:val="left"/>
      </w:pPr>
      <w:bookmarkStart w:id="43" w:name="b40b14eb37118522c88734a92071e899"/>
      <w:r>
        <w:rPr>
          <w:rFonts w:ascii="宋体" w:hAnsi="Times New Roman" w:eastAsia="宋体"/>
          <w:b/>
          <w:i w:val="0"/>
          <w:color w:val="07787E"/>
          <w:sz w:val="22"/>
        </w:rPr>
        <w:t>数字化闭环验证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通过Grafana动态仪表盘实时对比技改前后的收益，实现资产管理的精细化。</w:t>
      </w:r>
    </w:p>
    <w:bookmarkEnd w:id="43"/>
    <w:p w14:paraId="13621BA7">
      <w:pPr>
        <w:spacing w:beforeLines="100" w:after="50" w:line="360" w:lineRule="auto"/>
        <w:ind w:left="0"/>
        <w:jc w:val="left"/>
      </w:pPr>
      <w:bookmarkStart w:id="44" w:name="ua0a9c9b0"/>
      <w:bookmarkStart w:id="45" w:name="uec45f35d"/>
      <w:r>
        <w:rPr>
          <w:rFonts w:ascii="宋体" w:eastAsia="宋体"/>
        </w:rPr>
        <w:drawing>
          <wp:inline distT="0" distB="0" distL="0" distR="0">
            <wp:extent cx="5841365" cy="32537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51600" cy="24814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5"/>
    <w:p w14:paraId="4ADC7307">
      <w:pPr>
        <w:spacing w:beforeLines="100" w:after="50" w:line="360" w:lineRule="auto"/>
        <w:ind w:left="0"/>
        <w:jc w:val="left"/>
      </w:pPr>
      <w:bookmarkStart w:id="46" w:name="t1eHt"/>
      <w:bookmarkStart w:id="47" w:name="u74bd5ba3"/>
      <w:r>
        <w:rPr>
          <w:rFonts w:ascii="宋体" w:eastAsia="宋体"/>
        </w:rPr>
        <w:drawing>
          <wp:inline distT="0" distB="0" distL="0" distR="0">
            <wp:extent cx="5842000" cy="13081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7"/>
    <w:p w14:paraId="48A44A70">
      <w:pPr>
        <w:spacing w:beforeLines="100" w:after="50" w:line="360" w:lineRule="auto"/>
        <w:ind w:left="0"/>
        <w:jc w:val="left"/>
      </w:pPr>
      <w:bookmarkStart w:id="48" w:name="0b2180aa9ce16cee9b7b61be83999563"/>
      <w:r>
        <w:rPr>
          <w:rFonts w:ascii="宋体" w:hAnsi="Times New Roman" w:eastAsia="宋体"/>
          <w:b w:val="0"/>
          <w:i w:val="0"/>
          <w:color w:val="000000"/>
          <w:sz w:val="22"/>
        </w:rPr>
        <w:t>技术投入必须转化为财务报表的增长。以某52.35MWp实地技改案例为例，通过轨物科技的全栈优化，实现了如下核心回报：</w:t>
      </w:r>
    </w:p>
    <w:bookmarkEnd w:id="48"/>
    <w:p w14:paraId="02E552C9">
      <w:pPr>
        <w:numPr>
          <w:ilvl w:val="0"/>
          <w:numId w:val="11"/>
        </w:numPr>
        <w:spacing w:beforeLines="100" w:after="50" w:line="360" w:lineRule="auto"/>
        <w:ind w:left="360"/>
        <w:jc w:val="left"/>
      </w:pPr>
      <w:bookmarkStart w:id="49" w:name="7a97b1a44210e5b348401812c0381304"/>
      <w:r>
        <w:rPr>
          <w:rFonts w:ascii="宋体" w:hAnsi="Times New Roman" w:eastAsia="宋体"/>
          <w:b/>
          <w:i w:val="0"/>
          <w:color w:val="07787E"/>
          <w:sz w:val="22"/>
        </w:rPr>
        <w:t>性能飞跃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组件功率恢复率达</w:t>
      </w:r>
      <w:r>
        <w:rPr>
          <w:rFonts w:ascii="宋体" w:hAnsi="Times New Roman" w:eastAsia="宋体"/>
          <w:b/>
          <w:i w:val="0"/>
          <w:color w:val="07787E"/>
          <w:sz w:val="22"/>
        </w:rPr>
        <w:t>95.34%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；储能系统充放电效率提升至</w:t>
      </w:r>
      <w:r>
        <w:rPr>
          <w:rFonts w:ascii="宋体" w:hAnsi="Times New Roman" w:eastAsia="宋体"/>
          <w:b/>
          <w:i w:val="0"/>
          <w:color w:val="07787E"/>
          <w:sz w:val="22"/>
        </w:rPr>
        <w:t>93.87%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；</w:t>
      </w:r>
      <w:r>
        <w:rPr>
          <w:rFonts w:ascii="宋体" w:hAnsi="Times New Roman" w:eastAsia="宋体"/>
          <w:b/>
          <w:i w:val="0"/>
          <w:color w:val="07787E"/>
          <w:sz w:val="22"/>
        </w:rPr>
        <w:t>SOC误差范围由±3.20%缩小至±0.95%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，显著提升了化学资产的安全性。</w:t>
      </w:r>
    </w:p>
    <w:bookmarkEnd w:id="49"/>
    <w:p w14:paraId="4D3D98BB">
      <w:pPr>
        <w:numPr>
          <w:ilvl w:val="0"/>
          <w:numId w:val="11"/>
        </w:numPr>
        <w:spacing w:beforeLines="100" w:after="50" w:line="360" w:lineRule="auto"/>
        <w:ind w:left="360"/>
        <w:jc w:val="left"/>
      </w:pPr>
      <w:bookmarkStart w:id="50" w:name="f0c5d9d671068aa78a855fe537a0fe5c"/>
      <w:r>
        <w:rPr>
          <w:rFonts w:ascii="宋体" w:hAnsi="Times New Roman" w:eastAsia="宋体"/>
          <w:b/>
          <w:i w:val="0"/>
          <w:color w:val="07787E"/>
          <w:sz w:val="22"/>
        </w:rPr>
        <w:t>并网合规与成本压降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谐波畸变率由7.56%降至</w:t>
      </w:r>
      <w:r>
        <w:rPr>
          <w:rFonts w:ascii="宋体" w:hAnsi="Times New Roman" w:eastAsia="宋体"/>
          <w:b/>
          <w:i w:val="0"/>
          <w:color w:val="07787E"/>
          <w:sz w:val="22"/>
        </w:rPr>
        <w:t>3.82%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，配合延迟仅</w:t>
      </w:r>
      <w:r>
        <w:rPr>
          <w:rFonts w:ascii="宋体" w:hAnsi="Times New Roman" w:eastAsia="宋体"/>
          <w:b/>
          <w:i w:val="0"/>
          <w:color w:val="07787E"/>
          <w:sz w:val="22"/>
        </w:rPr>
        <w:t>9.47ms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的功率因数响应，彻底消除了电网罚款风险；环境适应性改造使散热效率提升</w:t>
      </w:r>
      <w:r>
        <w:rPr>
          <w:rFonts w:ascii="宋体" w:hAnsi="Times New Roman" w:eastAsia="宋体"/>
          <w:b/>
          <w:i w:val="0"/>
          <w:color w:val="000000"/>
          <w:sz w:val="22"/>
        </w:rPr>
        <w:t>31.28%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。</w:t>
      </w:r>
    </w:p>
    <w:bookmarkEnd w:id="50"/>
    <w:p w14:paraId="534CADAA">
      <w:pPr>
        <w:numPr>
          <w:ilvl w:val="0"/>
          <w:numId w:val="11"/>
        </w:numPr>
        <w:spacing w:beforeLines="100" w:after="50" w:line="360" w:lineRule="auto"/>
        <w:ind w:left="360"/>
        <w:jc w:val="left"/>
      </w:pPr>
      <w:bookmarkStart w:id="51" w:name="50b961e3fde9adc070d4a906afdc1a3f"/>
      <w:r>
        <w:rPr>
          <w:rFonts w:ascii="宋体" w:hAnsi="Times New Roman" w:eastAsia="宋体"/>
          <w:b/>
          <w:i w:val="0"/>
          <w:color w:val="07787E"/>
          <w:sz w:val="22"/>
        </w:rPr>
        <w:t>经济决策模型</w:t>
      </w:r>
      <w:r>
        <w:rPr>
          <w:rFonts w:ascii="宋体" w:hAnsi="Times New Roman" w:eastAsia="宋体"/>
          <w:b w:val="0"/>
          <w:i w:val="0"/>
          <w:color w:val="07787E"/>
          <w:sz w:val="22"/>
        </w:rPr>
        <w:t>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按\Delta NPV / Investment（净现值增量/投资额）测算，项目现金流在极短时间内实现由负转正，IRR显著优于同资源区新建项目。</w:t>
      </w:r>
    </w:p>
    <w:bookmarkEnd w:id="51"/>
    <w:p w14:paraId="21C5AE86">
      <w:pPr>
        <w:spacing w:beforeLines="100" w:after="50" w:line="360" w:lineRule="auto"/>
        <w:ind w:left="0"/>
        <w:jc w:val="left"/>
      </w:pPr>
      <w:bookmarkStart w:id="52" w:name="u30a9b61a"/>
      <w:bookmarkStart w:id="53" w:name="uda2a70fa"/>
      <w:r>
        <w:rPr>
          <w:rFonts w:ascii="宋体" w:eastAsia="宋体"/>
        </w:rPr>
        <w:drawing>
          <wp:inline distT="0" distB="0" distL="0" distR="0">
            <wp:extent cx="5842000" cy="32708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619332" cy="2498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3"/>
    <w:p w14:paraId="65A27061">
      <w:pPr>
        <w:spacing w:beforeLines="100" w:after="50" w:line="360" w:lineRule="auto"/>
        <w:ind w:left="0"/>
        <w:jc w:val="left"/>
      </w:pPr>
      <w:bookmarkStart w:id="54" w:name="da91988204a36e465ac7120c2228a074"/>
      <w:r>
        <w:rPr>
          <w:rFonts w:ascii="宋体" w:hAnsi="Times New Roman" w:eastAsia="宋体"/>
          <w:b w:val="0"/>
          <w:i w:val="0"/>
          <w:color w:val="000000"/>
          <w:sz w:val="22"/>
        </w:rPr>
        <w:t>这不仅是设备的更替，更是通过数字化手段对资产全生命周期价值的跨代升级。</w:t>
      </w:r>
    </w:p>
    <w:bookmarkEnd w:id="54"/>
    <w:p w14:paraId="34380770">
      <w:pPr>
        <w:spacing w:beforeLines="100" w:after="50" w:line="360" w:lineRule="auto"/>
        <w:ind w:left="0"/>
        <w:jc w:val="left"/>
      </w:pPr>
      <w:bookmarkStart w:id="55" w:name="jvaHb"/>
      <w:bookmarkStart w:id="56" w:name="u6b6a4296"/>
      <w:r>
        <w:rPr>
          <w:rFonts w:ascii="宋体" w:eastAsia="宋体"/>
        </w:rPr>
        <w:drawing>
          <wp:inline distT="0" distB="0" distL="0" distR="0">
            <wp:extent cx="5842000" cy="13081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</w:p>
    <w:bookmarkEnd w:id="56"/>
    <w:p w14:paraId="4029033D">
      <w:pPr>
        <w:spacing w:beforeLines="100" w:after="50" w:line="360" w:lineRule="auto"/>
        <w:ind w:left="0"/>
        <w:jc w:val="left"/>
      </w:pPr>
      <w:bookmarkStart w:id="57" w:name="4a13479f818d94f1e65d2f84a976347d"/>
      <w:r>
        <w:rPr>
          <w:rFonts w:ascii="宋体" w:hAnsi="Times New Roman" w:eastAsia="宋体"/>
          <w:b w:val="0"/>
          <w:i w:val="0"/>
          <w:color w:val="000000"/>
          <w:sz w:val="22"/>
        </w:rPr>
        <w:t>在存量竞争时代，预测性运维不再是锦上添花，而是运维商生存的确定性保障。面对老旧电站效能衰减的挑战，通过杭州轨物科技的专业数字化支持，将技术瓶颈转化为资产升值的动力。</w:t>
      </w:r>
    </w:p>
    <w:bookmarkEnd w:id="57"/>
    <w:p w14:paraId="4FABCD37">
      <w:pPr>
        <w:spacing w:beforeLines="100" w:after="50" w:line="360" w:lineRule="auto"/>
        <w:ind w:left="0"/>
        <w:jc w:val="left"/>
      </w:pPr>
      <w:bookmarkStart w:id="58" w:name="ua5a8b8ae"/>
      <w:bookmarkStart w:id="59" w:name="udd274455"/>
      <w:r>
        <w:rPr>
          <w:rFonts w:ascii="宋体" w:eastAsia="宋体"/>
        </w:rPr>
        <w:t>[MISSING IMAGE: ,  ]</w:t>
      </w:r>
      <w:bookmarkEnd w:id="58"/>
    </w:p>
    <w:bookmarkEnd w:id="59"/>
    <w:p w14:paraId="62CAA77B">
      <w:pPr>
        <w:spacing w:beforeLines="100" w:after="50" w:line="360" w:lineRule="auto"/>
        <w:ind w:left="0"/>
        <w:jc w:val="left"/>
      </w:pPr>
      <w:bookmarkStart w:id="60" w:name="ff9d915ba7fd13552ddae78720f822c6"/>
      <w:r>
        <w:rPr>
          <w:rFonts w:ascii="宋体" w:hAnsi="Times New Roman" w:eastAsia="宋体"/>
          <w:b w:val="0"/>
          <w:i w:val="0"/>
          <w:color w:val="000000"/>
          <w:sz w:val="22"/>
        </w:rPr>
        <w:t>诚邀您访问公司官网（www.thingcom.com)，共同探索光伏资产增值的无限可能。</w:t>
      </w:r>
    </w:p>
    <w:bookmarkEnd w:id="60"/>
    <w:p w14:paraId="1BB5B008">
      <w:pPr>
        <w:spacing w:beforeLines="100" w:after="50" w:line="360" w:lineRule="auto"/>
        <w:ind w:left="0"/>
        <w:jc w:val="left"/>
      </w:pPr>
      <w:bookmarkStart w:id="61" w:name="u84891859"/>
      <w:bookmarkStart w:id="62" w:name="33990d977e9b22161d34f980813e514e"/>
      <w:r>
        <w:rPr>
          <w:rFonts w:ascii="宋体" w:eastAsia="宋体"/>
        </w:rPr>
        <w:drawing>
          <wp:inline distT="0" distB="0" distL="0" distR="0">
            <wp:extent cx="5842000" cy="162369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2"/>
    <w:p w14:paraId="5F390CB2">
      <w:pPr>
        <w:spacing w:beforeLines="100" w:after="50" w:line="360" w:lineRule="auto"/>
        <w:ind w:left="0"/>
        <w:jc w:val="left"/>
      </w:pPr>
      <w:bookmarkStart w:id="63" w:name="u23df1d88"/>
      <w:bookmarkStart w:id="64" w:name="u33cab519"/>
      <w:r>
        <w:rPr>
          <w:rFonts w:ascii="宋体" w:eastAsia="宋体"/>
        </w:rPr>
        <w:drawing>
          <wp:inline distT="0" distB="0" distL="0" distR="0">
            <wp:extent cx="5841365" cy="329438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4"/>
    <w:p w14:paraId="130E6FB6">
      <w:pPr>
        <w:spacing w:beforeLines="100" w:after="50" w:line="360" w:lineRule="auto"/>
        <w:ind w:left="0"/>
        <w:jc w:val="left"/>
      </w:pPr>
      <w:bookmarkStart w:id="65" w:name="u88d305b8"/>
      <w:bookmarkStart w:id="66" w:name="uac09a62e"/>
      <w:r>
        <w:rPr>
          <w:rFonts w:ascii="宋体" w:eastAsia="宋体"/>
        </w:rPr>
        <w:drawing>
          <wp:inline distT="0" distB="0" distL="0" distR="0">
            <wp:extent cx="5842000" cy="472567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</w:p>
    <w:bookmarkEnd w:id="66"/>
    <w:p w14:paraId="5655E23E">
      <w:pPr>
        <w:spacing w:beforeLines="100" w:after="50" w:line="360" w:lineRule="auto"/>
        <w:ind w:left="0"/>
        <w:jc w:val="left"/>
      </w:pPr>
      <w:bookmarkStart w:id="67" w:name="ue16fd594"/>
      <w:bookmarkStart w:id="68" w:name="u2d29b052"/>
      <w:r>
        <w:rPr>
          <w:rFonts w:ascii="宋体" w:eastAsia="宋体"/>
        </w:rPr>
        <w:drawing>
          <wp:inline distT="0" distB="0" distL="0" distR="0">
            <wp:extent cx="5842000" cy="48450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  <w:bookmarkStart w:id="69" w:name="ue5126d70"/>
      <w:r>
        <w:rPr>
          <w:rFonts w:ascii="宋体" w:eastAsia="宋体"/>
        </w:rPr>
        <w:drawing>
          <wp:inline distT="0" distB="0" distL="0" distR="0">
            <wp:extent cx="5841365" cy="79438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308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9"/>
    </w:p>
    <w:bookmarkEnd w:id="68"/>
    <w:p w14:paraId="601F004F">
      <w:pPr>
        <w:spacing w:beforeLines="100" w:after="50" w:line="360" w:lineRule="auto"/>
        <w:ind w:left="0"/>
        <w:jc w:val="left"/>
      </w:pPr>
      <w:bookmarkStart w:id="70" w:name="u7969c0cd"/>
      <w:bookmarkStart w:id="71" w:name="u7573966f"/>
      <w:r>
        <w:rPr>
          <w:rFonts w:ascii="宋体" w:eastAsia="宋体"/>
        </w:rPr>
        <w:drawing>
          <wp:inline distT="0" distB="0" distL="0" distR="0">
            <wp:extent cx="5842000" cy="132016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  <w:bookmarkStart w:id="72" w:name="ucfc60ce5"/>
      <w:r>
        <w:rPr>
          <w:rFonts w:ascii="宋体" w:eastAsia="宋体"/>
        </w:rPr>
        <w:drawing>
          <wp:inline distT="0" distB="0" distL="0" distR="0">
            <wp:extent cx="5842000" cy="132016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2"/>
      <w:bookmarkStart w:id="73" w:name="u1f68f2df"/>
      <w:r>
        <w:rPr>
          <w:rFonts w:ascii="宋体" w:eastAsia="宋体"/>
        </w:rPr>
        <w:drawing>
          <wp:inline distT="0" distB="0" distL="0" distR="0">
            <wp:extent cx="5842000" cy="132016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  <w:bookmarkStart w:id="74" w:name="uda942244"/>
      <w:r>
        <w:rPr>
          <w:rFonts w:ascii="宋体" w:eastAsia="宋体"/>
        </w:rPr>
        <w:drawing>
          <wp:inline distT="0" distB="0" distL="0" distR="0">
            <wp:extent cx="5842000" cy="132016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1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6A7BCB"/>
    <w:multiLevelType w:val="singleLevel"/>
    <w:tmpl w:val="876A7BCB"/>
    <w:lvl w:ilvl="0" w:tentative="0">
      <w:start w:val="4"/>
      <w:numFmt w:val="decimal"/>
      <w:lvlText w:val="%1."/>
      <w:lvlJc w:val="left"/>
      <w:pPr>
        <w:ind w:left="960" w:hanging="360"/>
      </w:pPr>
    </w:lvl>
  </w:abstractNum>
  <w:abstractNum w:abstractNumId="1">
    <w:nsid w:val="ADD2F7FE"/>
    <w:multiLevelType w:val="multilevel"/>
    <w:tmpl w:val="ADD2F7FE"/>
    <w:lvl w:ilvl="0" w:tentative="0">
      <w:start w:val="0"/>
      <w:numFmt w:val="decimal"/>
      <w:lvlText w:val=""/>
      <w:lvlJc w:val="left"/>
    </w:lvl>
    <w:lvl w:ilvl="1" w:tentative="0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2">
    <w:nsid w:val="BE77454B"/>
    <w:multiLevelType w:val="multilevel"/>
    <w:tmpl w:val="BE77454B"/>
    <w:lvl w:ilvl="0" w:tentative="0">
      <w:start w:val="0"/>
      <w:numFmt w:val="decimal"/>
      <w:lvlText w:val=""/>
      <w:lvlJc w:val="left"/>
    </w:lvl>
    <w:lvl w:ilvl="1" w:tentative="0">
      <w:start w:val="1"/>
      <w:numFmt w:val="lowerLetter"/>
      <w:lvlText w:val="%2."/>
      <w:lvlJc w:val="left"/>
      <w:pPr>
        <w:ind w:left="1560" w:hanging="360"/>
      </w:pPr>
    </w:lvl>
  </w:abstractNum>
  <w:abstractNum w:abstractNumId="3">
    <w:nsid w:val="DFB88352"/>
    <w:multiLevelType w:val="singleLevel"/>
    <w:tmpl w:val="DFB88352"/>
    <w:lvl w:ilvl="0" w:tentative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nsid w:val="E3F955E7"/>
    <w:multiLevelType w:val="multilevel"/>
    <w:tmpl w:val="E3F955E7"/>
    <w:lvl w:ilvl="0" w:tentative="0">
      <w:start w:val="0"/>
      <w:numFmt w:val="decimal"/>
      <w:lvlText w:val=""/>
      <w:lvlJc w:val="left"/>
    </w:lvl>
    <w:lvl w:ilvl="1" w:tentative="0">
      <w:start w:val="1"/>
      <w:numFmt w:val="lowerLetter"/>
      <w:lvlText w:val="%2."/>
      <w:lvlJc w:val="left"/>
      <w:pPr>
        <w:ind w:left="1560" w:hanging="360"/>
      </w:pPr>
    </w:lvl>
  </w:abstractNum>
  <w:abstractNum w:abstractNumId="5">
    <w:nsid w:val="F4FE9341"/>
    <w:multiLevelType w:val="singleLevel"/>
    <w:tmpl w:val="F4FE934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nsid w:val="F5BC1A85"/>
    <w:multiLevelType w:val="singleLevel"/>
    <w:tmpl w:val="F5BC1A8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nsid w:val="FE7969EB"/>
    <w:multiLevelType w:val="singleLevel"/>
    <w:tmpl w:val="FE7969E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nsid w:val="FF6D4751"/>
    <w:multiLevelType w:val="multilevel"/>
    <w:tmpl w:val="FF6D4751"/>
    <w:lvl w:ilvl="0" w:tentative="0">
      <w:start w:val="0"/>
      <w:numFmt w:val="decimal"/>
      <w:lvlText w:val=""/>
      <w:lvlJc w:val="left"/>
    </w:lvl>
    <w:lvl w:ilvl="1" w:tentative="0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9">
    <w:nsid w:val="17DF41B8"/>
    <w:multiLevelType w:val="singleLevel"/>
    <w:tmpl w:val="17DF41B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nsid w:val="7F5A8C69"/>
    <w:multiLevelType w:val="singleLevel"/>
    <w:tmpl w:val="7F5A8C6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10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DFF70F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unhideWhenUsed/>
    <w:uiPriority w:val="99"/>
    <w:pPr>
      <w:ind w:left="720"/>
    </w:pPr>
  </w:style>
  <w:style w:type="paragraph" w:styleId="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9">
    <w:name w:val="header"/>
    <w:basedOn w:val="1"/>
    <w:link w:val="17"/>
    <w:unhideWhenUsed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uiPriority w:val="99"/>
    <w:rPr>
      <w:color w:val="0000FF" w:themeColor="hyperlink"/>
      <w:u w:val="single"/>
    </w:rPr>
  </w:style>
  <w:style w:type="character" w:customStyle="1" w:styleId="17">
    <w:name w:val="Header Char"/>
    <w:basedOn w:val="14"/>
    <w:link w:val="9"/>
    <w:uiPriority w:val="99"/>
  </w:style>
  <w:style w:type="character" w:customStyle="1" w:styleId="18">
    <w:name w:val="Heading 1 Char"/>
    <w:basedOn w:val="14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14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14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14"/>
    <w:link w:val="1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14"/>
    <w:link w:val="11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4">
    <w:name w:val="_Style 23"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TotalTime>0</TotalTime>
  <ScaleCrop>false</ScaleCrop>
  <LinksUpToDate>false</LinksUpToDate>
  <Application>WPS Office_12.1.25895.25895_F1E327BC-269C-435d-A152-05C5408002CA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2026-07-02T10:29:52Z</dcterms:created>
  <dc:creator>Data</dc:creator>
  <cp:lastModifiedBy>曾佳</cp:lastModifiedBy>
  <dcterms:modified xsi:type="dcterms:W3CDTF">2026-07-02T10:29:57Z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62F462B6E39E168625CD456AC44C4C8F_42</vt:lpwstr>
  </property>
</Properties>
</file>