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8BCE7">
      <w:pPr>
        <w:pStyle w:val="2"/>
        <w:spacing w:beforeLines="100" w:after="50" w:line="360" w:lineRule="auto"/>
        <w:ind w:left="0"/>
        <w:jc w:val="left"/>
      </w:pPr>
      <w:r>
        <w:rPr>
          <w:rFonts w:ascii="宋体" w:hAnsi="Times New Roman" w:eastAsia="宋体"/>
        </w:rPr>
        <w:t>【轨物洞见】拒绝“糊涂账”：为什么您的电站需要一位不生产电、只捍卫价值的“独立审计师”？</w:t>
      </w:r>
    </w:p>
    <w:p w14:paraId="1E37FAA6">
      <w:pPr>
        <w:pStyle w:val="2"/>
        <w:spacing w:beforeLines="100" w:after="50" w:line="360" w:lineRule="auto"/>
        <w:ind w:left="0"/>
        <w:jc w:val="left"/>
      </w:pPr>
      <w:bookmarkStart w:id="0" w:name="QsLME"/>
      <w:bookmarkStart w:id="1" w:name="Zvat6"/>
      <w:r>
        <w:rPr>
          <w:rFonts w:ascii="宋体" w:eastAsia="宋体"/>
        </w:rPr>
        <w:drawing>
          <wp:inline distT="0" distB="0" distL="0" distR="0">
            <wp:extent cx="5842000" cy="37909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bookmarkEnd w:id="1"/>
    <w:p w14:paraId="7F9CF337">
      <w:pPr>
        <w:spacing w:beforeLines="100" w:after="50" w:line="360" w:lineRule="auto"/>
        <w:ind w:left="0"/>
        <w:jc w:val="left"/>
      </w:pPr>
      <w:bookmarkStart w:id="2" w:name="iGldr"/>
      <w:bookmarkStart w:id="3" w:name="ua3536de1"/>
      <w:r>
        <w:rPr>
          <w:rFonts w:ascii="宋体" w:eastAsia="宋体"/>
        </w:rPr>
        <w:drawing>
          <wp:inline distT="0" distB="0" distL="0" distR="0">
            <wp:extent cx="5842000" cy="36766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1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bookmarkEnd w:id="3"/>
    <w:p w14:paraId="25896275">
      <w:pPr>
        <w:spacing w:beforeLines="100" w:after="50" w:line="360" w:lineRule="auto"/>
        <w:ind w:left="0"/>
        <w:jc w:val="left"/>
      </w:pPr>
      <w:bookmarkStart w:id="4" w:name="ubbf3f644"/>
      <w:bookmarkStart w:id="5" w:name="u9632e20a"/>
      <w:r>
        <w:rPr>
          <w:rFonts w:ascii="宋体" w:eastAsia="宋体"/>
        </w:rPr>
        <w:drawing>
          <wp:inline distT="0" distB="0" distL="0" distR="0">
            <wp:extent cx="5842000" cy="13081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392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5"/>
    <w:p w14:paraId="0A0AD9FC">
      <w:pPr>
        <w:spacing w:beforeLines="100" w:after="50" w:line="360" w:lineRule="auto"/>
        <w:ind w:left="0"/>
        <w:jc w:val="left"/>
      </w:pPr>
      <w:bookmarkStart w:id="6" w:name="82feb056226351da5e1a4a8d8723cbcc"/>
      <w:bookmarkStart w:id="75" w:name="_GoBack"/>
      <w:r>
        <w:rPr>
          <w:rFonts w:ascii="宋体" w:hAnsi="Times New Roman" w:eastAsia="宋体"/>
          <w:b w:val="0"/>
          <w:i w:val="0"/>
          <w:color w:val="000000"/>
          <w:sz w:val="22"/>
        </w:rPr>
        <w:t>中国目前拥有超过 400GW 的存量光伏电站。作为数字化战略专家，我们必须指出：这些电站并非静态的设备堆砌，而是长达 25 年的金融资产。然而，随着投运时间增长，由于“第一性原理”中不可逆的“</w:t>
      </w:r>
      <w:r>
        <w:rPr>
          <w:rFonts w:ascii="宋体" w:hAnsi="Times New Roman" w:eastAsia="宋体"/>
          <w:b/>
          <w:i w:val="0"/>
          <w:color w:val="07787E"/>
          <w:sz w:val="22"/>
        </w:rPr>
        <w:t>熵增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（Entropy）”过程，物理连接的老化正演变为财务上的崩塌。目前，行业正被三个“利润黑洞”疯狂吞噬：</w:t>
      </w:r>
      <w:bookmarkEnd w:id="75"/>
    </w:p>
    <w:bookmarkEnd w:id="6"/>
    <w:p w14:paraId="53272796">
      <w:pPr>
        <w:numPr>
          <w:ilvl w:val="0"/>
          <w:numId w:val="1"/>
        </w:numPr>
        <w:spacing w:beforeLines="100" w:after="50" w:line="360" w:lineRule="auto"/>
        <w:ind w:left="360"/>
        <w:jc w:val="left"/>
      </w:pPr>
      <w:bookmarkStart w:id="7" w:name="dcbb4366b83f3d7d9dde4a9731348ab1"/>
      <w:r>
        <w:rPr>
          <w:rFonts w:ascii="宋体" w:hAnsi="Times New Roman" w:eastAsia="宋体"/>
          <w:b/>
          <w:i w:val="0"/>
          <w:color w:val="07787E"/>
          <w:sz w:val="22"/>
        </w:rPr>
        <w:t>器材杂：数据孤岛的负面熵。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存量电站多为“万国牌”设备，协议互不兼容。数据被锁死在各厂家私有云端，形成无法统一穿透的信息孤岛，管理者对资产现状处于“看不见”的盲维状态。</w:t>
      </w:r>
    </w:p>
    <w:bookmarkEnd w:id="7"/>
    <w:p w14:paraId="3D14383E">
      <w:pPr>
        <w:numPr>
          <w:ilvl w:val="0"/>
          <w:numId w:val="1"/>
        </w:numPr>
        <w:spacing w:beforeLines="100" w:after="50" w:line="360" w:lineRule="auto"/>
        <w:ind w:left="360"/>
        <w:jc w:val="left"/>
      </w:pPr>
      <w:bookmarkStart w:id="8" w:name="a3f7d5e32fa3c34bfa8ea7ca65514156"/>
      <w:r>
        <w:rPr>
          <w:rFonts w:ascii="宋体" w:hAnsi="Times New Roman" w:eastAsia="宋体"/>
          <w:b/>
          <w:i w:val="0"/>
          <w:color w:val="07787E"/>
          <w:sz w:val="22"/>
        </w:rPr>
        <w:t>效率低：高 TCO 的人力搬运。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传统的“保姆式运维”依赖人工抄表，这占到了近 90% 的无效运维支出。在数字化程度低下的现状中，由于响应滞后导致的效率损耗正在实时发生。</w:t>
      </w:r>
    </w:p>
    <w:bookmarkEnd w:id="8"/>
    <w:p w14:paraId="61C19F92">
      <w:pPr>
        <w:numPr>
          <w:ilvl w:val="0"/>
          <w:numId w:val="1"/>
        </w:numPr>
        <w:spacing w:beforeLines="100" w:after="50" w:line="360" w:lineRule="auto"/>
        <w:ind w:left="360"/>
        <w:jc w:val="left"/>
      </w:pPr>
      <w:bookmarkStart w:id="9" w:name="f57dc07053d479a3496e0492b14fdad4"/>
      <w:r>
        <w:rPr>
          <w:rFonts w:ascii="宋体" w:hAnsi="Times New Roman" w:eastAsia="宋体"/>
          <w:b/>
          <w:i w:val="0"/>
          <w:color w:val="07787E"/>
          <w:sz w:val="22"/>
        </w:rPr>
        <w:t>糊涂账：消失的 5% 去哪了？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这是一个 visceral 的行业痛点：</w:t>
      </w:r>
      <w:r>
        <w:rPr>
          <w:rFonts w:ascii="宋体" w:hAnsi="Times New Roman" w:eastAsia="宋体"/>
          <w:b/>
          <w:i w:val="0"/>
          <w:color w:val="07787E"/>
          <w:sz w:val="22"/>
        </w:rPr>
        <w:t>逆变器读数 1000 度 ≠ 关口表结算 950 度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。这消失的 5% 发电量究竟是由于线损过大、计量偏差，还是隐性偷漏电？在缺乏独立审计的情况下，这笔“糊涂账”成了电站老板永远无法回收的沉没成本。</w:t>
      </w:r>
    </w:p>
    <w:bookmarkEnd w:id="9"/>
    <w:p w14:paraId="10BA93DF">
      <w:pPr>
        <w:spacing w:beforeLines="100" w:after="50" w:line="360" w:lineRule="auto"/>
        <w:ind w:left="0"/>
        <w:jc w:val="left"/>
      </w:pPr>
      <w:bookmarkStart w:id="10" w:name="u27ae4a0f"/>
      <w:bookmarkStart w:id="11" w:name="u64ea7497"/>
      <w:r>
        <w:rPr>
          <w:rFonts w:ascii="宋体" w:eastAsia="宋体"/>
        </w:rPr>
        <w:drawing>
          <wp:inline distT="0" distB="0" distL="0" distR="0">
            <wp:extent cx="5842000" cy="311912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653200" cy="23844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bookmarkEnd w:id="11"/>
    <w:p w14:paraId="7CCA15E8">
      <w:pPr>
        <w:spacing w:beforeLines="100" w:after="50" w:line="360" w:lineRule="auto"/>
        <w:ind w:left="0"/>
        <w:jc w:val="left"/>
      </w:pPr>
      <w:bookmarkStart w:id="12" w:name="fb1aa1304fe5038d661826f14113707d"/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在“看不见”真相的现状下，传统的粗放运维已无法实现 LCOE（平准化度电成本）的最优解。找回消失的利润，必须引入一套基于物理真值的治理模式。 </w:t>
      </w:r>
    </w:p>
    <w:bookmarkEnd w:id="12"/>
    <w:p w14:paraId="76738C49">
      <w:pPr>
        <w:spacing w:beforeLines="100" w:after="50" w:line="360" w:lineRule="auto"/>
        <w:ind w:left="0"/>
        <w:jc w:val="left"/>
      </w:pPr>
      <w:bookmarkStart w:id="13" w:name="VmVHw"/>
      <w:bookmarkStart w:id="14" w:name="u17c80380"/>
      <w:r>
        <w:rPr>
          <w:rFonts w:ascii="宋体" w:eastAsia="宋体"/>
        </w:rPr>
        <w:drawing>
          <wp:inline distT="0" distB="0" distL="0" distR="0">
            <wp:extent cx="5841365" cy="137223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"/>
    </w:p>
    <w:bookmarkEnd w:id="14"/>
    <w:p w14:paraId="4FA3C122">
      <w:pPr>
        <w:spacing w:beforeLines="100" w:after="50" w:line="360" w:lineRule="auto"/>
        <w:ind w:left="0"/>
        <w:jc w:val="left"/>
      </w:pPr>
      <w:bookmarkStart w:id="15" w:name="135f7dbf2fd8fe574bedadaced35f0f5"/>
      <w:r>
        <w:rPr>
          <w:rFonts w:ascii="宋体" w:hAnsi="Times New Roman" w:eastAsia="宋体"/>
          <w:b w:val="0"/>
          <w:i w:val="0"/>
          <w:color w:val="000000"/>
          <w:sz w:val="22"/>
        </w:rPr>
        <w:t>光伏资产管理中存在着深刻的利益对立。长期以来，业主依赖逆变器厂家提供的 APP 进行监测。然而，从资产审计的严谨性来看，这种模式存在天然缺陷：运动员不能同时担任裁判员。</w:t>
      </w:r>
    </w:p>
    <w:bookmarkEnd w:id="15"/>
    <w:p w14:paraId="7CBC77B7">
      <w:pPr>
        <w:numPr>
          <w:ilvl w:val="0"/>
          <w:numId w:val="2"/>
        </w:numPr>
        <w:spacing w:beforeLines="100" w:after="50" w:line="360" w:lineRule="auto"/>
        <w:ind w:left="360"/>
        <w:jc w:val="left"/>
      </w:pPr>
      <w:bookmarkStart w:id="16" w:name="638f4d7d5223a94586033c9f9cb4daa7"/>
      <w:r>
        <w:rPr>
          <w:rFonts w:ascii="宋体" w:hAnsi="Times New Roman" w:eastAsia="宋体"/>
          <w:b/>
          <w:i w:val="0"/>
          <w:color w:val="07787E"/>
          <w:sz w:val="22"/>
        </w:rPr>
        <w:t>数据主权（Data Sovereignty）的丧失：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厂家 APP 的核心动力是证明其设备“运行正常”，而非揭示其效率的缓慢衰减或隐性故障。厂家系统缺乏“自证其罪”的动机。更重要的是，一旦厂家服务调整，业主将面临“资产失联”的风险。</w:t>
      </w:r>
    </w:p>
    <w:bookmarkEnd w:id="16"/>
    <w:p w14:paraId="35239158">
      <w:pPr>
        <w:numPr>
          <w:ilvl w:val="0"/>
          <w:numId w:val="2"/>
        </w:numPr>
        <w:spacing w:beforeLines="100" w:after="50" w:line="360" w:lineRule="auto"/>
        <w:ind w:left="360"/>
        <w:jc w:val="left"/>
      </w:pPr>
      <w:bookmarkStart w:id="17" w:name="fb4e6fce2a6c1527a66ee49b13f6dfa4"/>
      <w:r>
        <w:rPr>
          <w:rFonts w:ascii="宋体" w:hAnsi="Times New Roman" w:eastAsia="宋体"/>
          <w:b/>
          <w:i w:val="0"/>
          <w:color w:val="07787E"/>
          <w:sz w:val="22"/>
        </w:rPr>
        <w:t>独立审计的价值：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轨物科技以“独立审计师”身份介入，通过物理层红外抄表直采获取“真值”数据。这种独立性确保了数据的客观透明，是银行抵押评估与保险理赔中不可或缺的“审计信根（Trust Root）”。</w:t>
      </w:r>
    </w:p>
    <w:bookmarkEnd w:id="17"/>
    <w:p w14:paraId="4A53F59D">
      <w:pPr>
        <w:pStyle w:val="4"/>
        <w:spacing w:beforeLines="100" w:after="50" w:line="360" w:lineRule="auto"/>
        <w:ind w:left="0"/>
        <w:jc w:val="center"/>
      </w:pPr>
      <w:bookmarkStart w:id="18" w:name="h7Psv"/>
      <w:r>
        <w:rPr>
          <w:rFonts w:ascii="宋体" w:hAnsi="Times New Roman" w:eastAsia="宋体"/>
          <w:color w:val="07787E"/>
        </w:rPr>
        <w:t>厂家原厂监测 vs. 轨物独立审计</w:t>
      </w:r>
    </w:p>
    <w:bookmarkEnd w:id="18"/>
    <w:p w14:paraId="11DE5EF8">
      <w:pPr>
        <w:spacing w:beforeLines="100" w:after="50" w:line="360" w:lineRule="auto"/>
        <w:ind w:left="0"/>
        <w:jc w:val="left"/>
      </w:pPr>
      <w:bookmarkStart w:id="19" w:name="ubeeeec0e"/>
      <w:bookmarkStart w:id="20" w:name="ub171fad8"/>
      <w:r>
        <w:rPr>
          <w:rFonts w:ascii="宋体" w:eastAsia="宋体"/>
        </w:rPr>
        <w:drawing>
          <wp:inline distT="0" distB="0" distL="0" distR="0">
            <wp:extent cx="5841365" cy="185991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09734" cy="18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9"/>
    </w:p>
    <w:bookmarkEnd w:id="20"/>
    <w:p w14:paraId="50C30A80">
      <w:pPr>
        <w:spacing w:beforeLines="100" w:after="50" w:line="360" w:lineRule="auto"/>
        <w:ind w:left="0"/>
        <w:jc w:val="left"/>
      </w:pPr>
      <w:bookmarkStart w:id="21" w:name="Z4Zgd"/>
      <w:bookmarkStart w:id="22" w:name="u87211552"/>
      <w:r>
        <w:rPr>
          <w:rFonts w:ascii="宋体" w:eastAsia="宋体"/>
        </w:rPr>
        <w:drawing>
          <wp:inline distT="0" distB="0" distL="0" distR="0">
            <wp:extent cx="5842000" cy="134366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1"/>
    </w:p>
    <w:bookmarkEnd w:id="22"/>
    <w:p w14:paraId="6F1D0906">
      <w:pPr>
        <w:spacing w:beforeLines="100" w:after="50" w:line="360" w:lineRule="auto"/>
        <w:ind w:left="0"/>
        <w:jc w:val="left"/>
      </w:pPr>
      <w:bookmarkStart w:id="23" w:name="10ceba228e7b61212da7cae9a5dcd932"/>
      <w:r>
        <w:rPr>
          <w:rFonts w:ascii="宋体" w:hAnsi="Times New Roman" w:eastAsia="宋体"/>
          <w:b w:val="0"/>
          <w:i w:val="0"/>
          <w:color w:val="000000"/>
          <w:sz w:val="22"/>
        </w:rPr>
        <w:t>针对老旧电站技改，我们坚持“零熵增”</w:t>
      </w:r>
      <w:r>
        <w:rPr>
          <w:rFonts w:ascii="宋体" w:hAnsi="Times New Roman" w:eastAsia="宋体"/>
          <w:b/>
          <w:i w:val="0"/>
          <w:color w:val="000000"/>
          <w:sz w:val="22"/>
        </w:rPr>
        <w:t>与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“不扰动”的准则。通过“三把手术刀”般的精密硬件，在 30 分钟内完成“微创手术”：</w:t>
      </w:r>
    </w:p>
    <w:bookmarkEnd w:id="23"/>
    <w:p w14:paraId="62AD7F1C">
      <w:pPr>
        <w:numPr>
          <w:ilvl w:val="0"/>
          <w:numId w:val="3"/>
        </w:numPr>
        <w:spacing w:beforeLines="100" w:after="50" w:line="360" w:lineRule="auto"/>
        <w:ind w:left="360"/>
        <w:jc w:val="left"/>
      </w:pPr>
      <w:bookmarkStart w:id="24" w:name="626d0a40e6b5a90e9b7f33194f7b91b8"/>
      <w:r>
        <w:rPr>
          <w:rFonts w:ascii="宋体" w:hAnsi="Times New Roman" w:eastAsia="宋体"/>
          <w:b/>
          <w:i w:val="0"/>
          <w:color w:val="07787E"/>
          <w:sz w:val="22"/>
        </w:rPr>
        <w:t>红外抄表贴 (The Eye) —— 解决“算钱难”：</w:t>
      </w:r>
      <w:r>
        <w:rPr>
          <w:rFonts w:ascii="宋体" w:hAnsi="Times New Roman" w:eastAsia="宋体"/>
          <w:b w:val="0"/>
          <w:i w:val="0"/>
          <w:color w:val="07787E"/>
          <w:sz w:val="22"/>
        </w:rPr>
        <w:t xml:space="preserve"> 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采用磁吸式安装，对准电表红外口即可。</w:t>
      </w:r>
      <w:r>
        <w:rPr>
          <w:rFonts w:ascii="宋体" w:hAnsi="Times New Roman" w:eastAsia="宋体"/>
          <w:b/>
          <w:i w:val="0"/>
          <w:color w:val="07787E"/>
          <w:sz w:val="22"/>
        </w:rPr>
        <w:t>0 接线、0 拆表、0 停电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。它能 24 小时自动读取 DL/T 645 冻结数据，让“哑巴”电表秒变智能，提供不可篡改的结算真值。</w:t>
      </w:r>
    </w:p>
    <w:bookmarkEnd w:id="24"/>
    <w:p w14:paraId="1E98DD23">
      <w:pPr>
        <w:numPr>
          <w:ilvl w:val="0"/>
          <w:numId w:val="3"/>
        </w:numPr>
        <w:spacing w:beforeLines="100" w:after="50" w:line="360" w:lineRule="auto"/>
        <w:ind w:left="360"/>
        <w:jc w:val="left"/>
      </w:pPr>
      <w:bookmarkStart w:id="25" w:name="82bd435a8d75f87f7828aacbba5bd350"/>
      <w:r>
        <w:rPr>
          <w:rFonts w:ascii="宋体" w:hAnsi="Times New Roman" w:eastAsia="宋体"/>
          <w:b/>
          <w:i w:val="0"/>
          <w:color w:val="07787E"/>
          <w:sz w:val="22"/>
        </w:rPr>
        <w:t>万能数据棒 (The Link) —— 解决“看数难”：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作为全协议翻译器，它具备“协议逆向工程”能力，适配 95% 以上品牌及已退市的“僵尸”设备。即插即用，通过 4G 全网通将碎片化数据清洗为标准 JSON 包。</w:t>
      </w:r>
    </w:p>
    <w:bookmarkEnd w:id="25"/>
    <w:p w14:paraId="01A7AD82">
      <w:pPr>
        <w:numPr>
          <w:ilvl w:val="0"/>
          <w:numId w:val="3"/>
        </w:numPr>
        <w:spacing w:beforeLines="100" w:after="50" w:line="360" w:lineRule="auto"/>
        <w:ind w:left="360"/>
        <w:jc w:val="left"/>
      </w:pPr>
      <w:bookmarkStart w:id="26" w:name="6937bca8475e8f2eed63274d1b7e0f92"/>
      <w:r>
        <w:rPr>
          <w:rFonts w:ascii="宋体" w:hAnsi="Times New Roman" w:eastAsia="宋体"/>
          <w:b/>
          <w:i w:val="0"/>
          <w:color w:val="07787E"/>
          <w:sz w:val="22"/>
        </w:rPr>
        <w:t>边缘安全网关 (The Brain) —— 解决“防火难”</w:t>
      </w:r>
      <w:r>
        <w:rPr>
          <w:rFonts w:ascii="宋体" w:hAnsi="Times New Roman" w:eastAsia="宋体"/>
          <w:b/>
          <w:i w:val="0"/>
          <w:color w:val="000000"/>
          <w:sz w:val="22"/>
        </w:rPr>
        <w:t>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针对老旧并网柜因接触电阻增加引发的“热失控（Thermal Runaway）”，利用</w:t>
      </w:r>
      <w:r>
        <w:rPr>
          <w:rFonts w:ascii="宋体" w:hAnsi="Times New Roman" w:eastAsia="宋体"/>
          <w:b/>
          <w:i w:val="0"/>
          <w:color w:val="07787E"/>
          <w:sz w:val="22"/>
        </w:rPr>
        <w:t>卡扣式（Clip-on）传感器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实时监测线缆温升。根据焦耳定律（Q=I^2Rt），当温度触碰 </w:t>
      </w:r>
      <w:r>
        <w:rPr>
          <w:rFonts w:ascii="宋体" w:hAnsi="Times New Roman" w:eastAsia="宋体"/>
          <w:b/>
          <w:i w:val="0"/>
          <w:color w:val="07787E"/>
          <w:sz w:val="22"/>
        </w:rPr>
        <w:t>80°C 红色警戒线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时，网关实现毫秒级预警。</w:t>
      </w:r>
    </w:p>
    <w:bookmarkEnd w:id="26"/>
    <w:p w14:paraId="260800D8">
      <w:pPr>
        <w:spacing w:beforeLines="100" w:after="50" w:line="360" w:lineRule="auto"/>
        <w:ind w:left="0"/>
        <w:jc w:val="left"/>
      </w:pPr>
      <w:bookmarkStart w:id="27" w:name="u2ece127b"/>
      <w:bookmarkStart w:id="28" w:name="u0f3d99a1"/>
      <w:r>
        <w:rPr>
          <w:rFonts w:ascii="宋体" w:eastAsia="宋体"/>
        </w:rPr>
        <w:drawing>
          <wp:inline distT="0" distB="0" distL="0" distR="0">
            <wp:extent cx="5842000" cy="325945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670132" cy="2492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7"/>
    </w:p>
    <w:bookmarkEnd w:id="28"/>
    <w:p w14:paraId="38A512EF">
      <w:pPr>
        <w:pStyle w:val="4"/>
        <w:spacing w:beforeLines="100" w:after="50" w:line="360" w:lineRule="auto"/>
        <w:ind w:left="0"/>
        <w:jc w:val="left"/>
      </w:pPr>
      <w:bookmarkStart w:id="29" w:name="zsoH8"/>
      <w:r>
        <w:rPr>
          <w:rFonts w:ascii="宋体" w:hAnsi="Times New Roman" w:eastAsia="宋体"/>
          <w:color w:val="07787E"/>
        </w:rPr>
        <w:t>“30 分钟微创手术”流程模拟：</w:t>
      </w:r>
    </w:p>
    <w:bookmarkEnd w:id="29"/>
    <w:p w14:paraId="6E4FFC99">
      <w:pPr>
        <w:numPr>
          <w:ilvl w:val="0"/>
          <w:numId w:val="4"/>
        </w:numPr>
        <w:spacing w:beforeLines="100" w:after="50" w:line="360" w:lineRule="auto"/>
        <w:ind w:left="360"/>
        <w:jc w:val="left"/>
      </w:pPr>
      <w:bookmarkStart w:id="30" w:name="960ab20707d25768a65310d4fae49f0e"/>
      <w:r>
        <w:rPr>
          <w:rFonts w:ascii="宋体" w:hAnsi="Times New Roman" w:eastAsia="宋体"/>
          <w:b/>
          <w:i w:val="0"/>
          <w:color w:val="07787E"/>
          <w:sz w:val="22"/>
        </w:rPr>
        <w:t>第 0-10 分钟：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无感进场，无需拉闸，完成磁吸、插拔与卡扣物理安装。</w:t>
      </w:r>
    </w:p>
    <w:bookmarkEnd w:id="30"/>
    <w:p w14:paraId="28296806">
      <w:pPr>
        <w:numPr>
          <w:ilvl w:val="0"/>
          <w:numId w:val="4"/>
        </w:numPr>
        <w:spacing w:beforeLines="100" w:after="50" w:line="360" w:lineRule="auto"/>
        <w:ind w:left="360"/>
        <w:jc w:val="left"/>
      </w:pPr>
      <w:bookmarkStart w:id="31" w:name="97f0df1500b0aeb5c362b3714e9c872a"/>
      <w:r>
        <w:rPr>
          <w:rFonts w:ascii="宋体" w:hAnsi="Times New Roman" w:eastAsia="宋体"/>
          <w:b/>
          <w:i w:val="0"/>
          <w:color w:val="07787E"/>
          <w:sz w:val="22"/>
        </w:rPr>
        <w:t>第 10-20 分钟：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手机扫码绑定，边缘网关自动识别协议，完成“数字握手”。</w:t>
      </w:r>
    </w:p>
    <w:bookmarkEnd w:id="31"/>
    <w:p w14:paraId="2B234FB6">
      <w:pPr>
        <w:numPr>
          <w:ilvl w:val="0"/>
          <w:numId w:val="4"/>
        </w:numPr>
        <w:spacing w:beforeLines="100" w:after="50" w:line="360" w:lineRule="auto"/>
        <w:ind w:left="360"/>
        <w:jc w:val="left"/>
      </w:pPr>
      <w:bookmarkStart w:id="32" w:name="7f05541946440c3265f41a3009ae5f5d"/>
      <w:r>
        <w:rPr>
          <w:rFonts w:ascii="宋体" w:hAnsi="Times New Roman" w:eastAsia="宋体"/>
          <w:b/>
          <w:i w:val="0"/>
          <w:color w:val="07787E"/>
          <w:sz w:val="22"/>
        </w:rPr>
        <w:t>第 20-30 分钟：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云端上线。确定性现金流数据实时同步，电站焕然一新。</w:t>
      </w:r>
    </w:p>
    <w:bookmarkEnd w:id="32"/>
    <w:p w14:paraId="3AED7BC3">
      <w:pPr>
        <w:spacing w:beforeLines="100" w:after="50" w:line="360" w:lineRule="auto"/>
        <w:ind w:left="0"/>
        <w:jc w:val="left"/>
      </w:pPr>
      <w:bookmarkStart w:id="33" w:name="y2j6Z"/>
      <w:bookmarkStart w:id="34" w:name="ub8ef9120"/>
      <w:r>
        <w:rPr>
          <w:rFonts w:ascii="宋体" w:eastAsia="宋体"/>
        </w:rPr>
        <w:drawing>
          <wp:inline distT="0" distB="0" distL="0" distR="0">
            <wp:extent cx="5842000" cy="137223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3"/>
    </w:p>
    <w:bookmarkEnd w:id="34"/>
    <w:p w14:paraId="2DD8C1ED">
      <w:pPr>
        <w:spacing w:beforeLines="100" w:after="50" w:line="360" w:lineRule="auto"/>
        <w:ind w:left="0"/>
        <w:jc w:val="left"/>
      </w:pPr>
      <w:bookmarkStart w:id="35" w:name="17e5a63089368874e50310e21aef2129"/>
      <w:r>
        <w:rPr>
          <w:rFonts w:ascii="宋体" w:hAnsi="Times New Roman" w:eastAsia="宋体"/>
          <w:b w:val="0"/>
          <w:i w:val="0"/>
          <w:color w:val="000000"/>
          <w:sz w:val="22"/>
        </w:rPr>
        <w:t>对于运维商老板而言，数字化不是开支，而是高收益理财。我们将数字化系统转变为“负成本资产”：</w:t>
      </w:r>
    </w:p>
    <w:bookmarkEnd w:id="35"/>
    <w:p w14:paraId="4D1014F9">
      <w:pPr>
        <w:numPr>
          <w:ilvl w:val="0"/>
          <w:numId w:val="5"/>
        </w:numPr>
        <w:spacing w:beforeLines="100" w:after="50" w:line="360" w:lineRule="auto"/>
        <w:ind w:left="360"/>
        <w:jc w:val="left"/>
      </w:pPr>
      <w:bookmarkStart w:id="36" w:name="a470906c357c50069ef76533777df0c4"/>
      <w:r>
        <w:rPr>
          <w:rFonts w:ascii="宋体" w:hAnsi="Times New Roman" w:eastAsia="宋体"/>
          <w:b/>
          <w:i w:val="0"/>
          <w:color w:val="07787E"/>
          <w:sz w:val="22"/>
        </w:rPr>
        <w:t>TCO 负成本模型：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通过 AI 算法找回的 5% 发电收益，在生命周期内远超订阅费用。</w:t>
      </w:r>
    </w:p>
    <w:bookmarkEnd w:id="36"/>
    <w:p w14:paraId="3C87D2A8">
      <w:pPr>
        <w:numPr>
          <w:ilvl w:val="0"/>
          <w:numId w:val="5"/>
        </w:numPr>
        <w:spacing w:beforeLines="100" w:after="50" w:line="360" w:lineRule="auto"/>
        <w:ind w:left="360"/>
        <w:jc w:val="left"/>
      </w:pPr>
      <w:bookmarkStart w:id="37" w:name="59678c3658030ada176b6054698b588e"/>
      <w:r>
        <w:rPr>
          <w:rFonts w:ascii="宋体" w:hAnsi="Times New Roman" w:eastAsia="宋体"/>
          <w:b/>
          <w:i w:val="0"/>
          <w:color w:val="07787E"/>
          <w:sz w:val="22"/>
        </w:rPr>
        <w:t>算力替代人力：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数字化审计将单人管理容量上限从 10MW 提升至 50MW，实现“规模扩大一倍，人员零增加”。</w:t>
      </w:r>
    </w:p>
    <w:bookmarkEnd w:id="37"/>
    <w:p w14:paraId="6E5DCCE3">
      <w:pPr>
        <w:numPr>
          <w:ilvl w:val="0"/>
          <w:numId w:val="5"/>
        </w:numPr>
        <w:spacing w:beforeLines="100" w:after="50" w:line="360" w:lineRule="auto"/>
        <w:ind w:left="360"/>
        <w:jc w:val="left"/>
      </w:pPr>
      <w:bookmarkStart w:id="38" w:name="ff64322920e269f34f6dfda07dc664ee"/>
      <w:r>
        <w:rPr>
          <w:rFonts w:ascii="宋体" w:hAnsi="Times New Roman" w:eastAsia="宋体"/>
          <w:b/>
          <w:i w:val="0"/>
          <w:color w:val="07787E"/>
          <w:sz w:val="22"/>
        </w:rPr>
        <w:t>CAPEX 财务优化：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我们提供“5 年打包服务”，允许运维商将传统的运营成本 (OPEX) 转化为建设投入 (CAPEX)，不仅简化审批，更能优化首年抵税额度。</w:t>
      </w:r>
    </w:p>
    <w:bookmarkEnd w:id="38"/>
    <w:p w14:paraId="552D37E3">
      <w:pPr>
        <w:pStyle w:val="4"/>
        <w:spacing w:beforeLines="100" w:after="50" w:line="360" w:lineRule="auto"/>
        <w:ind w:left="0"/>
        <w:jc w:val="center"/>
      </w:pPr>
      <w:bookmarkStart w:id="39" w:name="u1ab63b1c"/>
      <w:bookmarkStart w:id="40" w:name="GhaP9"/>
      <w:r>
        <w:rPr>
          <w:rFonts w:ascii="宋体" w:eastAsia="宋体"/>
        </w:rPr>
        <w:drawing>
          <wp:inline distT="0" distB="0" distL="0" distR="0">
            <wp:extent cx="5841365" cy="244792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60534" cy="2497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9"/>
    </w:p>
    <w:bookmarkEnd w:id="40"/>
    <w:p w14:paraId="40B04051">
      <w:pPr>
        <w:spacing w:beforeLines="100" w:after="50" w:line="360" w:lineRule="auto"/>
        <w:ind w:left="0"/>
        <w:jc w:val="left"/>
      </w:pPr>
      <w:bookmarkStart w:id="41" w:name="i1paE"/>
      <w:bookmarkStart w:id="42" w:name="u2c83f244"/>
      <w:r>
        <w:rPr>
          <w:rFonts w:ascii="宋体" w:eastAsia="宋体"/>
        </w:rPr>
        <w:drawing>
          <wp:inline distT="0" distB="0" distL="0" distR="0">
            <wp:extent cx="5842000" cy="137223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1"/>
    </w:p>
    <w:bookmarkEnd w:id="42"/>
    <w:p w14:paraId="4F00903A">
      <w:pPr>
        <w:spacing w:beforeLines="100" w:after="50" w:line="360" w:lineRule="auto"/>
        <w:ind w:left="0"/>
        <w:jc w:val="left"/>
      </w:pPr>
      <w:bookmarkStart w:id="43" w:name="77a5036eab7c711c8768da046f430b50"/>
      <w:r>
        <w:rPr>
          <w:rFonts w:ascii="宋体" w:hAnsi="Times New Roman" w:eastAsia="宋体"/>
          <w:b w:val="0"/>
          <w:i w:val="0"/>
          <w:color w:val="000000"/>
          <w:sz w:val="22"/>
        </w:rPr>
        <w:t>软件是“数据解释权”的载体。轨物 SaaS (V1.0) 不仅是工具，更是确定的价值引擎：</w:t>
      </w:r>
    </w:p>
    <w:bookmarkEnd w:id="43"/>
    <w:p w14:paraId="403279E6">
      <w:pPr>
        <w:numPr>
          <w:ilvl w:val="0"/>
          <w:numId w:val="6"/>
        </w:numPr>
        <w:spacing w:beforeLines="100" w:after="50" w:line="360" w:lineRule="auto"/>
        <w:ind w:left="360"/>
        <w:jc w:val="left"/>
      </w:pPr>
      <w:bookmarkStart w:id="44" w:name="dcfe4601ee488984b15a6658c66ac496"/>
      <w:r>
        <w:rPr>
          <w:rFonts w:ascii="宋体" w:hAnsi="Times New Roman" w:eastAsia="宋体"/>
          <w:b/>
          <w:i w:val="0"/>
          <w:color w:val="07787E"/>
          <w:sz w:val="22"/>
        </w:rPr>
        <w:t>收益审计中心 (The Accountant)：</w:t>
      </w:r>
      <w:r>
        <w:rPr>
          <w:rFonts w:ascii="宋体" w:hAnsi="Times New Roman" w:eastAsia="宋体"/>
          <w:b w:val="0"/>
          <w:i w:val="0"/>
          <w:color w:val="07787E"/>
          <w:sz w:val="22"/>
        </w:rPr>
        <w:t xml:space="preserve"> 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独创“双轨对账（Dual Track）”视图——虚线展示逆变器发电量，实线展示红外抄表实测真值。两条线的积分差即为线损或流失。自动生成电网级结算 PDF。</w:t>
      </w:r>
    </w:p>
    <w:bookmarkEnd w:id="44"/>
    <w:p w14:paraId="307BAFB6">
      <w:pPr>
        <w:numPr>
          <w:ilvl w:val="0"/>
          <w:numId w:val="6"/>
        </w:numPr>
        <w:spacing w:beforeLines="100" w:after="50" w:line="360" w:lineRule="auto"/>
        <w:ind w:left="360"/>
        <w:jc w:val="left"/>
      </w:pPr>
      <w:bookmarkStart w:id="45" w:name="8ec0e9c614e169a21f0859cbcefcb461"/>
      <w:r>
        <w:rPr>
          <w:rFonts w:ascii="宋体" w:hAnsi="Times New Roman" w:eastAsia="宋体"/>
          <w:b/>
          <w:i w:val="0"/>
          <w:color w:val="07787E"/>
          <w:sz w:val="22"/>
        </w:rPr>
        <w:t>设备健康诊断 (The Doctor)：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利用“I-V 曲线指纹识别”，精准揪出灰尘遮挡、组件隐裂、二极管故障等“偷懒”组串。</w:t>
      </w:r>
    </w:p>
    <w:bookmarkEnd w:id="45"/>
    <w:p w14:paraId="4C29C680">
      <w:pPr>
        <w:numPr>
          <w:ilvl w:val="0"/>
          <w:numId w:val="6"/>
        </w:numPr>
        <w:spacing w:beforeLines="100" w:after="50" w:line="360" w:lineRule="auto"/>
        <w:ind w:left="360"/>
        <w:jc w:val="left"/>
      </w:pPr>
      <w:bookmarkStart w:id="46" w:name="d49fe986799b62e1d9d0af2473d023ea"/>
      <w:r>
        <w:rPr>
          <w:rFonts w:ascii="宋体" w:hAnsi="Times New Roman" w:eastAsia="宋体"/>
          <w:b/>
          <w:i w:val="0"/>
          <w:color w:val="07787E"/>
          <w:sz w:val="22"/>
        </w:rPr>
        <w:t>安全预警中心 (The Guard)：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提供配电柜热力图，记录从检测到超温到预警的“告警溯源时间轴”，作为运维商事故定责的“免责证据链”。</w:t>
      </w:r>
    </w:p>
    <w:bookmarkEnd w:id="46"/>
    <w:p w14:paraId="43F72992">
      <w:pPr>
        <w:numPr>
          <w:ilvl w:val="0"/>
          <w:numId w:val="6"/>
        </w:numPr>
        <w:spacing w:beforeLines="100" w:after="50" w:line="360" w:lineRule="auto"/>
        <w:ind w:left="360"/>
        <w:jc w:val="left"/>
      </w:pPr>
      <w:bookmarkStart w:id="47" w:name="b2af3ea134c52c4b9f7a575d09d3982c"/>
      <w:r>
        <w:rPr>
          <w:rFonts w:ascii="宋体" w:hAnsi="Times New Roman" w:eastAsia="宋体"/>
          <w:b/>
          <w:i w:val="0"/>
          <w:color w:val="07787E"/>
          <w:sz w:val="22"/>
        </w:rPr>
        <w:t>全能管家包 (The Manager)：</w:t>
      </w:r>
      <w:r>
        <w:rPr>
          <w:rFonts w:ascii="宋体" w:hAnsi="Times New Roman" w:eastAsia="宋体"/>
          <w:b w:val="0"/>
          <w:i w:val="0"/>
          <w:color w:val="07787E"/>
          <w:sz w:val="22"/>
        </w:rPr>
        <w:t xml:space="preserve"> 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包含上述所有功能。</w:t>
      </w:r>
    </w:p>
    <w:bookmarkEnd w:id="47"/>
    <w:p w14:paraId="183C08C9">
      <w:pPr>
        <w:spacing w:beforeLines="100" w:after="50" w:line="360" w:lineRule="auto"/>
        <w:ind w:left="0"/>
        <w:jc w:val="left"/>
      </w:pPr>
      <w:bookmarkStart w:id="48" w:name="u134b15a8"/>
      <w:bookmarkStart w:id="49" w:name="u498476b0"/>
      <w:r>
        <w:rPr>
          <w:rFonts w:ascii="宋体" w:eastAsia="宋体"/>
        </w:rPr>
        <w:drawing>
          <wp:inline distT="0" distB="0" distL="0" distR="0">
            <wp:extent cx="5842000" cy="325945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653200" cy="2491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8"/>
    </w:p>
    <w:bookmarkEnd w:id="49"/>
    <w:p w14:paraId="7DE1CDBF">
      <w:pPr>
        <w:spacing w:beforeLines="100" w:after="50" w:line="360" w:lineRule="auto"/>
        <w:ind w:left="0"/>
        <w:jc w:val="left"/>
      </w:pPr>
      <w:bookmarkStart w:id="50" w:name="c744b900cd73b507b2c4c1b90bf56eda"/>
      <w:r>
        <w:rPr>
          <w:rFonts w:ascii="宋体" w:hAnsi="Times New Roman" w:eastAsia="宋体"/>
          <w:b/>
          <w:i w:val="0"/>
          <w:color w:val="07787E"/>
          <w:sz w:val="22"/>
        </w:rPr>
        <w:t>心理战术应用：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系统遵循“由奢入俭难”原则。3 个月免费试用结束后，非续费用户界面将覆盖</w:t>
      </w:r>
      <w:r>
        <w:rPr>
          <w:rFonts w:ascii="宋体" w:hAnsi="Times New Roman" w:eastAsia="宋体"/>
          <w:b/>
          <w:i w:val="0"/>
          <w:color w:val="000000"/>
          <w:sz w:val="22"/>
        </w:rPr>
        <w:t>半透明灰色遮罩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并弹出提醒：“试用期结束。</w:t>
      </w:r>
    </w:p>
    <w:bookmarkEnd w:id="50"/>
    <w:p w14:paraId="1928D87E">
      <w:pPr>
        <w:spacing w:beforeLines="100" w:after="50" w:line="360" w:lineRule="auto"/>
        <w:ind w:left="0"/>
        <w:jc w:val="left"/>
      </w:pPr>
      <w:bookmarkStart w:id="51" w:name="OqPc8"/>
      <w:bookmarkStart w:id="52" w:name="u641ac1ec"/>
      <w:r>
        <w:rPr>
          <w:rFonts w:ascii="宋体" w:eastAsia="宋体"/>
        </w:rPr>
        <w:drawing>
          <wp:inline distT="0" distB="0" distL="0" distR="0">
            <wp:extent cx="5842000" cy="137223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1"/>
    </w:p>
    <w:bookmarkEnd w:id="52"/>
    <w:p w14:paraId="46B50D9B">
      <w:pPr>
        <w:spacing w:beforeLines="100" w:after="50" w:line="360" w:lineRule="auto"/>
        <w:ind w:left="0"/>
        <w:jc w:val="left"/>
      </w:pPr>
      <w:bookmarkStart w:id="53" w:name="uca9c30fa"/>
      <w:bookmarkStart w:id="54" w:name="u0291057b"/>
      <w:r>
        <w:rPr>
          <w:rFonts w:ascii="宋体" w:eastAsia="宋体"/>
        </w:rPr>
        <w:drawing>
          <wp:inline distT="0" distB="0" distL="0" distR="0">
            <wp:extent cx="5842000" cy="325945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653200" cy="2491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3"/>
    </w:p>
    <w:bookmarkEnd w:id="54"/>
    <w:p w14:paraId="32D77781">
      <w:pPr>
        <w:spacing w:beforeLines="100" w:after="50" w:line="360" w:lineRule="auto"/>
        <w:ind w:left="0"/>
        <w:jc w:val="left"/>
      </w:pPr>
      <w:bookmarkStart w:id="55" w:name="bc4f86f48b578149af053461218ab980"/>
      <w:r>
        <w:rPr>
          <w:rFonts w:ascii="宋体" w:hAnsi="Times New Roman" w:eastAsia="宋体"/>
          <w:b w:val="0"/>
          <w:i w:val="0"/>
          <w:color w:val="000000"/>
          <w:sz w:val="22"/>
        </w:rPr>
        <w:t>存量光伏电站不应在“盲维”中沦为不良资产。作为运维商老板，您需要从忙于灭火的“保洁员”转型为精通资产增值的“精算师”。</w:t>
      </w:r>
    </w:p>
    <w:bookmarkEnd w:id="55"/>
    <w:p w14:paraId="3C51E2DA">
      <w:pPr>
        <w:spacing w:beforeLines="100" w:after="50" w:line="360" w:lineRule="auto"/>
        <w:ind w:left="0"/>
        <w:jc w:val="left"/>
      </w:pPr>
      <w:bookmarkStart w:id="56" w:name="1bd92608016049abaabbda443cb54607"/>
      <w:r>
        <w:rPr>
          <w:rFonts w:ascii="宋体" w:hAnsi="Times New Roman" w:eastAsia="宋体"/>
          <w:b w:val="0"/>
          <w:i w:val="0"/>
          <w:color w:val="000000"/>
          <w:sz w:val="22"/>
        </w:rPr>
        <w:t>轨物科技依托</w:t>
      </w:r>
      <w:r>
        <w:rPr>
          <w:rFonts w:ascii="宋体" w:hAnsi="Times New Roman" w:eastAsia="宋体"/>
          <w:b/>
          <w:i w:val="0"/>
          <w:color w:val="07787E"/>
          <w:sz w:val="22"/>
        </w:rPr>
        <w:t>杭州电子科技大学 AIoT 联合实验室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，凭借 </w:t>
      </w:r>
      <w:r>
        <w:rPr>
          <w:rFonts w:ascii="宋体" w:hAnsi="Times New Roman" w:eastAsia="宋体"/>
          <w:b/>
          <w:i w:val="0"/>
          <w:color w:val="07787E"/>
          <w:sz w:val="22"/>
        </w:rPr>
        <w:t>18 项发明专利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的技术底座，为您承诺：</w:t>
      </w:r>
    </w:p>
    <w:bookmarkEnd w:id="56"/>
    <w:p w14:paraId="19016237">
      <w:pPr>
        <w:numPr>
          <w:ilvl w:val="0"/>
          <w:numId w:val="7"/>
        </w:numPr>
        <w:spacing w:beforeLines="100" w:after="50" w:line="360" w:lineRule="auto"/>
        <w:ind w:left="360"/>
        <w:jc w:val="left"/>
      </w:pPr>
      <w:bookmarkStart w:id="57" w:name="798b122a328c5008f350b87463b52ff9"/>
      <w:r>
        <w:rPr>
          <w:rFonts w:ascii="宋体" w:hAnsi="Times New Roman" w:eastAsia="宋体"/>
          <w:b/>
          <w:i w:val="0"/>
          <w:color w:val="07787E"/>
          <w:sz w:val="22"/>
        </w:rPr>
        <w:t>零风险试用：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免费为您的电站做一次深度“体检”，用数据实证 ROI。</w:t>
      </w:r>
    </w:p>
    <w:bookmarkEnd w:id="57"/>
    <w:p w14:paraId="3EB42F27">
      <w:pPr>
        <w:numPr>
          <w:ilvl w:val="0"/>
          <w:numId w:val="7"/>
        </w:numPr>
        <w:spacing w:beforeLines="100" w:after="50" w:line="360" w:lineRule="auto"/>
        <w:ind w:left="360"/>
        <w:jc w:val="left"/>
      </w:pPr>
      <w:bookmarkStart w:id="58" w:name="9898640b1929a2b3dfd9b43998bed5fa"/>
      <w:r>
        <w:rPr>
          <w:rFonts w:ascii="宋体" w:hAnsi="Times New Roman" w:eastAsia="宋体"/>
          <w:b/>
          <w:i w:val="0"/>
          <w:color w:val="07787E"/>
          <w:sz w:val="22"/>
        </w:rPr>
        <w:t>极致背书：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我们敢于向所有资方承诺——</w:t>
      </w:r>
      <w:r>
        <w:rPr>
          <w:rFonts w:ascii="宋体" w:hAnsi="Times New Roman" w:eastAsia="宋体"/>
          <w:b/>
          <w:i w:val="0"/>
          <w:color w:val="07787E"/>
          <w:sz w:val="22"/>
        </w:rPr>
        <w:t>“数据不准，设备送您”</w:t>
      </w:r>
      <w:r>
        <w:rPr>
          <w:rFonts w:ascii="宋体" w:hAnsi="Times New Roman" w:eastAsia="宋体"/>
          <w:b w:val="0"/>
          <w:i w:val="0"/>
          <w:color w:val="07787E"/>
          <w:sz w:val="22"/>
        </w:rPr>
        <w:t>。</w:t>
      </w:r>
    </w:p>
    <w:bookmarkEnd w:id="58"/>
    <w:p w14:paraId="046E6C08">
      <w:pPr>
        <w:spacing w:beforeLines="100" w:after="50" w:line="360" w:lineRule="auto"/>
        <w:ind w:left="0"/>
        <w:jc w:val="left"/>
      </w:pPr>
      <w:bookmarkStart w:id="59" w:name="bf64922b8fbded80501a6d01c91b0c2e"/>
      <w:r>
        <w:rPr>
          <w:rFonts w:ascii="宋体" w:hAnsi="Times New Roman" w:eastAsia="宋体"/>
          <w:b/>
          <w:i w:val="0"/>
          <w:color w:val="07787E"/>
          <w:sz w:val="22"/>
        </w:rPr>
        <w:t>用算力替代人力，用算法找回消失的 5%</w:t>
      </w:r>
      <w:r>
        <w:rPr>
          <w:rFonts w:ascii="宋体" w:hAnsi="Times New Roman" w:eastAsia="宋体"/>
          <w:b/>
          <w:i w:val="0"/>
          <w:color w:val="000000"/>
          <w:sz w:val="22"/>
        </w:rPr>
        <w:t>。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让我们共同捍卫每一度电的确定性。</w:t>
      </w:r>
    </w:p>
    <w:bookmarkEnd w:id="59"/>
    <w:p w14:paraId="4CF300B7">
      <w:pPr>
        <w:spacing w:beforeLines="100" w:after="50" w:line="360" w:lineRule="auto"/>
        <w:ind w:left="0"/>
        <w:jc w:val="left"/>
      </w:pPr>
      <w:bookmarkStart w:id="60" w:name="u84891859"/>
      <w:bookmarkStart w:id="61" w:name="f29274c778840adfaa5a54ee9ecc91d0"/>
      <w:r>
        <w:rPr>
          <w:rFonts w:ascii="宋体" w:eastAsia="宋体"/>
        </w:rPr>
        <w:drawing>
          <wp:inline distT="0" distB="0" distL="0" distR="0">
            <wp:extent cx="5842000" cy="162369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0"/>
    </w:p>
    <w:bookmarkEnd w:id="61"/>
    <w:p w14:paraId="6DDB0116">
      <w:pPr>
        <w:spacing w:beforeLines="100" w:after="50" w:line="360" w:lineRule="auto"/>
        <w:ind w:left="0"/>
        <w:jc w:val="left"/>
      </w:pPr>
      <w:bookmarkStart w:id="62" w:name="u23df1d88"/>
      <w:bookmarkStart w:id="63" w:name="u33cab519"/>
      <w:r>
        <w:rPr>
          <w:rFonts w:ascii="宋体" w:eastAsia="宋体"/>
        </w:rPr>
        <w:drawing>
          <wp:inline distT="0" distB="0" distL="0" distR="0">
            <wp:extent cx="5841365" cy="329438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80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2"/>
    </w:p>
    <w:bookmarkEnd w:id="63"/>
    <w:p w14:paraId="1ADB491A">
      <w:pPr>
        <w:spacing w:beforeLines="100" w:after="50" w:line="360" w:lineRule="auto"/>
        <w:ind w:left="0"/>
        <w:jc w:val="left"/>
      </w:pPr>
      <w:bookmarkStart w:id="64" w:name="u88d305b8"/>
      <w:bookmarkStart w:id="65" w:name="uac09a62e"/>
      <w:r>
        <w:rPr>
          <w:rFonts w:ascii="宋体" w:eastAsia="宋体"/>
        </w:rPr>
        <w:drawing>
          <wp:inline distT="0" distB="0" distL="0" distR="0">
            <wp:extent cx="5842000" cy="472567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1512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4"/>
    </w:p>
    <w:bookmarkEnd w:id="65"/>
    <w:p w14:paraId="783AAD93">
      <w:pPr>
        <w:spacing w:beforeLines="100" w:after="50" w:line="360" w:lineRule="auto"/>
        <w:ind w:left="0"/>
        <w:jc w:val="left"/>
      </w:pPr>
      <w:bookmarkStart w:id="66" w:name="ue16fd594"/>
      <w:bookmarkStart w:id="67" w:name="u2d29b052"/>
      <w:r>
        <w:rPr>
          <w:rFonts w:ascii="宋体" w:eastAsia="宋体"/>
        </w:rPr>
        <w:drawing>
          <wp:inline distT="0" distB="0" distL="0" distR="0">
            <wp:extent cx="5842000" cy="48450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6"/>
    </w:p>
    <w:bookmarkEnd w:id="67"/>
    <w:p w14:paraId="127546E6">
      <w:pPr>
        <w:spacing w:beforeLines="100" w:after="50" w:line="360" w:lineRule="auto"/>
        <w:ind w:left="0"/>
        <w:jc w:val="left"/>
      </w:pPr>
      <w:bookmarkStart w:id="68" w:name="u64ddf743"/>
      <w:bookmarkStart w:id="69" w:name="uee1db6bf"/>
      <w:r>
        <w:rPr>
          <w:rFonts w:ascii="宋体" w:eastAsia="宋体"/>
        </w:rPr>
        <w:drawing>
          <wp:inline distT="0" distB="0" distL="0" distR="0">
            <wp:extent cx="5841365" cy="52514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690666" cy="20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8"/>
    </w:p>
    <w:bookmarkEnd w:id="69"/>
    <w:p w14:paraId="2BB5EBE8">
      <w:pPr>
        <w:spacing w:beforeLines="100" w:after="50" w:line="360" w:lineRule="auto"/>
        <w:ind w:left="0"/>
        <w:jc w:val="left"/>
      </w:pPr>
      <w:bookmarkStart w:id="70" w:name="u86a1eddf"/>
      <w:bookmarkStart w:id="71" w:name="ua212b3e3"/>
      <w:r>
        <w:rPr>
          <w:rFonts w:ascii="宋体" w:eastAsia="宋体"/>
        </w:rPr>
        <w:drawing>
          <wp:inline distT="0" distB="0" distL="0" distR="0">
            <wp:extent cx="5842000" cy="1320165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0"/>
      <w:bookmarkStart w:id="72" w:name="u91fdfc8a"/>
      <w:r>
        <w:rPr>
          <w:rFonts w:ascii="宋体" w:eastAsia="宋体"/>
        </w:rPr>
        <w:drawing>
          <wp:inline distT="0" distB="0" distL="0" distR="0">
            <wp:extent cx="5842000" cy="132016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2"/>
      <w:bookmarkStart w:id="73" w:name="u8c022099"/>
      <w:r>
        <w:rPr>
          <w:rFonts w:ascii="宋体" w:eastAsia="宋体"/>
        </w:rPr>
        <w:drawing>
          <wp:inline distT="0" distB="0" distL="0" distR="0">
            <wp:extent cx="5842000" cy="132016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3"/>
      <w:bookmarkStart w:id="74" w:name="uc8745195"/>
      <w:r>
        <w:rPr>
          <w:rFonts w:ascii="宋体" w:eastAsia="宋体"/>
        </w:rPr>
        <w:drawing>
          <wp:inline distT="0" distB="0" distL="0" distR="0">
            <wp:extent cx="5842000" cy="132016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4"/>
    </w:p>
    <w:bookmarkEnd w:id="71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5809DE"/>
    <w:multiLevelType w:val="singleLevel"/>
    <w:tmpl w:val="B55809DE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">
    <w:nsid w:val="D3E79FEB"/>
    <w:multiLevelType w:val="singleLevel"/>
    <w:tmpl w:val="D3E79FEB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nsid w:val="EEDEDE56"/>
    <w:multiLevelType w:val="singleLevel"/>
    <w:tmpl w:val="EEDEDE56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nsid w:val="F1F52F05"/>
    <w:multiLevelType w:val="singleLevel"/>
    <w:tmpl w:val="F1F52F05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nsid w:val="FBFB1D2D"/>
    <w:multiLevelType w:val="singleLevel"/>
    <w:tmpl w:val="FBFB1D2D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nsid w:val="FCEECFBB"/>
    <w:multiLevelType w:val="singleLevel"/>
    <w:tmpl w:val="FCEECFBB"/>
    <w:lvl w:ilvl="0" w:tentative="0">
      <w:start w:val="1"/>
      <w:numFmt w:val="decimal"/>
      <w:lvlText w:val="%1."/>
      <w:lvlJc w:val="left"/>
      <w:pPr>
        <w:ind w:left="960" w:hanging="360"/>
      </w:pPr>
    </w:lvl>
  </w:abstractNum>
  <w:abstractNum w:abstractNumId="6">
    <w:nsid w:val="4F13AB52"/>
    <w:multiLevelType w:val="singleLevel"/>
    <w:tmpl w:val="4F13AB52"/>
    <w:lvl w:ilvl="0" w:tentative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00000"/>
    <w:rsid w:val="EEB570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unhideWhenUsed/>
    <w:uiPriority w:val="99"/>
    <w:pPr>
      <w:ind w:left="720"/>
    </w:pPr>
  </w:style>
  <w:style w:type="paragraph" w:styleId="8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9">
    <w:name w:val="header"/>
    <w:basedOn w:val="1"/>
    <w:link w:val="17"/>
    <w:unhideWhenUsed/>
    <w:uiPriority w:val="99"/>
    <w:pPr>
      <w:tabs>
        <w:tab w:val="center" w:pos="4680"/>
        <w:tab w:val="right" w:pos="9360"/>
      </w:tabs>
    </w:pPr>
  </w:style>
  <w:style w:type="paragraph" w:styleId="10">
    <w:name w:val="Subtitle"/>
    <w:basedOn w:val="1"/>
    <w:next w:val="1"/>
    <w:link w:val="22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11">
    <w:name w:val="Title"/>
    <w:basedOn w:val="1"/>
    <w:next w:val="1"/>
    <w:link w:val="23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13">
    <w:name w:val="Table Grid"/>
    <w:basedOn w:val="12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Emphasis"/>
    <w:basedOn w:val="14"/>
    <w:qFormat/>
    <w:uiPriority w:val="20"/>
    <w:rPr>
      <w:i/>
      <w:iCs/>
    </w:rPr>
  </w:style>
  <w:style w:type="character" w:styleId="16">
    <w:name w:val="Hyperlink"/>
    <w:basedOn w:val="14"/>
    <w:unhideWhenUsed/>
    <w:uiPriority w:val="99"/>
    <w:rPr>
      <w:color w:val="0000FF" w:themeColor="hyperlink"/>
      <w:u w:val="single"/>
    </w:rPr>
  </w:style>
  <w:style w:type="character" w:customStyle="1" w:styleId="17">
    <w:name w:val="Header Char"/>
    <w:basedOn w:val="14"/>
    <w:link w:val="9"/>
    <w:uiPriority w:val="99"/>
  </w:style>
  <w:style w:type="character" w:customStyle="1" w:styleId="18">
    <w:name w:val="Heading 1 Char"/>
    <w:basedOn w:val="14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9">
    <w:name w:val="Heading 2 Char"/>
    <w:basedOn w:val="14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0">
    <w:name w:val="Heading 3 Char"/>
    <w:basedOn w:val="14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1">
    <w:name w:val="Heading 4 Char"/>
    <w:basedOn w:val="14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2">
    <w:name w:val="Subtitle Char"/>
    <w:basedOn w:val="14"/>
    <w:link w:val="10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3">
    <w:name w:val="Title Char"/>
    <w:basedOn w:val="14"/>
    <w:link w:val="11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24">
    <w:name w:val="_Style 23"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0" Type="http://schemas.openxmlformats.org/officeDocument/2006/relationships/fontTable" Target="fontTable.xml"/><Relationship Id="rId3" Type="http://schemas.openxmlformats.org/officeDocument/2006/relationships/footnotes" Target="footnotes.xml"/><Relationship Id="rId29" Type="http://schemas.openxmlformats.org/officeDocument/2006/relationships/numbering" Target="numbering.xml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TotalTime>1</TotalTime>
  <ScaleCrop>false</ScaleCrop>
  <LinksUpToDate>false</LinksUpToDate>
  <Application>WPS Office_12.1.25895.25895_F1E327BC-269C-435d-A152-05C5408002CA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2026-07-02T10:15:35Z</dcterms:created>
  <dc:creator>Data</dc:creator>
  <cp:lastModifiedBy>曾佳</cp:lastModifiedBy>
  <dcterms:modified xsi:type="dcterms:W3CDTF">2026-07-02T10:17:05Z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C94B701BFC07807E21CA456A30B5702A_42</vt:lpwstr>
  </property>
</Properties>
</file>