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【轨物洞见】传感器也会“撒谎”：为什么单靠电气信号的一键顺控是在给运维埋雷？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iSwOf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62e60174f52de57293468b2e982afa1a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在国家电网与南方电网全面推行智能变电站建设的浪潮下，“一键顺控”技术已成为开关柜操作的标配。通过“操作票程序化+一键启动”，运维工作实现了从“人工跑腿”到“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后台鼠标操作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质变。然而，在繁华的技术指标背后，运维现场却隐藏着一颗“隐形地雷”：当监控系统显示的“操作成功”与现场设备的物理状态不一致时，这种由传感器误报引发的“虚假位移信号”，往往会演变成重大的安全灾难。</w:t>
      </w:r>
    </w:p>
    <w:bookmarkEnd w:id="2"/>
    <w:bookmarkStart w:name="u16b91f3f" w:id="3"/>
    <w:p>
      <w:pPr>
        <w:spacing w:after="50" w:line="360" w:lineRule="auto" w:beforeLines="100"/>
        <w:ind w:left="0"/>
        <w:jc w:val="left"/>
      </w:pPr>
      <w:bookmarkStart w:name="u020607d2" w:id="4"/>
      <w:r>
        <w:rPr>
          <w:rFonts w:eastAsia="宋体" w:ascii="宋体"/>
        </w:rPr>
        <w:drawing>
          <wp:inline distT="0" distB="0" distL="0" distR="0">
            <wp:extent cx="5841999" cy="32598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18134" cy="124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d0afb76c49370d0c89f81a62a7c5fc68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作为智能电网运维专家，我们必须正视一个事实：传感器是会“撒谎”的。</w:t>
      </w:r>
    </w:p>
    <w:bookmarkEnd w:id="5"/>
    <w:bookmarkStart w:name="ueb38b5ec" w:id="6"/>
    <w:p>
      <w:pPr>
        <w:spacing w:after="50" w:line="360" w:lineRule="auto" w:beforeLines="100"/>
        <w:ind w:left="0"/>
        <w:jc w:val="left"/>
      </w:pPr>
      <w:bookmarkStart w:name="uc8921ac8" w:id="7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8dacbc264bb6cd0f6562dd4325796aca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要规避运维风险，首先要理解一键顺控（One-Key Sequential Control）的核心严谨逻辑。系统通过对</w:t>
      </w:r>
      <w:r>
        <w:rPr>
          <w:rFonts w:ascii="宋体" w:hAnsi="Times New Roman" w:eastAsia="宋体"/>
          <w:b/>
          <w:i w:val="false"/>
          <w:color w:val="000000"/>
          <w:sz w:val="22"/>
        </w:rPr>
        <w:t>SR-IED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智能测控终端、</w:t>
      </w:r>
      <w:r>
        <w:rPr>
          <w:rFonts w:ascii="宋体" w:hAnsi="Times New Roman" w:eastAsia="宋体"/>
          <w:b/>
          <w:i w:val="false"/>
          <w:color w:val="004347"/>
          <w:sz w:val="22"/>
        </w:rPr>
        <w:t>SR-MOTO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控制器及相关组件的协同，管理开关柜的四个核心运行状态：</w:t>
      </w:r>
    </w:p>
    <w:bookmarkEnd w:id="8"/>
    <w:bookmarkStart w:name="fd4e95edcd28c788ecfc80ee87c9a210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运行态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断路器在合位、手车在工作位置、接地刀在分位。</w:t>
      </w:r>
    </w:p>
    <w:bookmarkEnd w:id="9"/>
    <w:bookmarkStart w:name="7f823b80fe24f90257c4231648d51e3d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热备态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断路器在分位、手车在工作位置、接地刀在分位。</w:t>
      </w:r>
    </w:p>
    <w:bookmarkEnd w:id="10"/>
    <w:bookmarkStart w:name="db02b43c08b6857ec972d2637b579845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冷备态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断路器在分位、手车在试验位置、接地刀在分位。</w:t>
      </w:r>
    </w:p>
    <w:bookmarkEnd w:id="11"/>
    <w:bookmarkStart w:name="21ddf67f4bbacdeb4b02f2eb922391bc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检修态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断路器在分位、手车在试验位置、接地刀在合位。</w:t>
      </w:r>
    </w:p>
    <w:bookmarkEnd w:id="12"/>
    <w:bookmarkStart w:name="755840771d4d8f1410241be6a39fb825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为了确保状态切换的绝对可靠，系统引入了</w:t>
      </w:r>
      <w:r>
        <w:rPr>
          <w:rFonts w:ascii="宋体" w:hAnsi="Times New Roman" w:eastAsia="宋体"/>
          <w:b/>
          <w:i w:val="false"/>
          <w:color w:val="004347"/>
          <w:sz w:val="22"/>
        </w:rPr>
        <w:t>状态充电时间（Tcd）四大操作流程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</w:p>
    <w:bookmarkEnd w:id="13"/>
    <w:bookmarkStart w:name="e0d414a60ab5a90fb0ba5fbccf625285" w:id="14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转运行流程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指令下达 → 拉开接地刀 → 摇进底盘车至工作位置 → 合上断路器。</w:t>
      </w:r>
    </w:p>
    <w:bookmarkEnd w:id="14"/>
    <w:bookmarkStart w:name="485a47c81fa59c26360dd7e31fdf96dc" w:id="1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转检修流程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指令下达 → 断开断路器 → 摇出底盘车至试验位置 → 合上接地刀。</w:t>
      </w:r>
    </w:p>
    <w:bookmarkEnd w:id="15"/>
    <w:bookmarkStart w:name="99a599fce06e48a2aef4ebcc3639cb61" w:id="1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转冷备流程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指令下达 → 断开断路器 → 摇出底盘车至试验位置。</w:t>
      </w:r>
    </w:p>
    <w:bookmarkEnd w:id="16"/>
    <w:bookmarkStart w:name="94e7d13dcdeef3ec2e11c90baa35673c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转热备流程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指令下达 → 断开断路器。</w:t>
      </w:r>
    </w:p>
    <w:bookmarkEnd w:id="17"/>
    <w:bookmarkStart w:name="u8a1568ba" w:id="18"/>
    <w:p>
      <w:pPr>
        <w:spacing w:after="50" w:line="360" w:lineRule="auto" w:beforeLines="100"/>
        <w:ind w:left="0"/>
        <w:jc w:val="left"/>
      </w:pPr>
      <w:bookmarkStart w:name="u2de45a56" w:id="19"/>
      <w:r>
        <w:rPr>
          <w:rFonts w:eastAsia="宋体" w:ascii="宋体"/>
        </w:rPr>
        <w:drawing>
          <wp:inline distT="0" distB="0" distL="0" distR="0">
            <wp:extent cx="5841999" cy="32598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18134" cy="1245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a55d76cc" w:id="20"/>
    <w:p>
      <w:pPr>
        <w:spacing w:after="50" w:line="360" w:lineRule="auto" w:beforeLines="100"/>
        <w:ind w:left="0"/>
        <w:jc w:val="left"/>
      </w:pPr>
      <w:bookmarkStart w:name="A6jP0" w:id="21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57ba9b332a294025d31411aea5ecceb8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在一键顺控系统中，虽然配备了由3个霍尔传感器和1个位移传感器组成的</w:t>
      </w:r>
      <w:r>
        <w:rPr>
          <w:rFonts w:ascii="宋体" w:hAnsi="Times New Roman" w:eastAsia="宋体"/>
          <w:b/>
          <w:i w:val="false"/>
          <w:color w:val="004347"/>
          <w:sz w:val="22"/>
        </w:rPr>
        <w:t>SR-MECH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机械特性监测单元，以及关键的</w:t>
      </w:r>
      <w:r>
        <w:rPr>
          <w:rFonts w:ascii="宋体" w:hAnsi="Times New Roman" w:eastAsia="宋体"/>
          <w:b/>
          <w:i w:val="false"/>
          <w:color w:val="004347"/>
          <w:sz w:val="22"/>
        </w:rPr>
        <w:t>Kgg-03角度传感器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，但在恶劣的电力运行环境下，物理盲区依然存在。</w:t>
      </w:r>
    </w:p>
    <w:bookmarkEnd w:id="22"/>
    <w:bookmarkStart w:name="u1c16e5b9" w:id="23"/>
    <w:p>
      <w:pPr>
        <w:spacing w:after="50" w:line="360" w:lineRule="auto" w:beforeLines="100"/>
        <w:ind w:left="0"/>
        <w:jc w:val="left"/>
      </w:pPr>
      <w:bookmarkStart w:name="uc1ccfe8b" w:id="24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892f324d1dbfdc596e11a77ec75263ed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“撒谎”的根源：</w:t>
      </w:r>
    </w:p>
    <w:bookmarkEnd w:id="25"/>
    <w:bookmarkStart w:name="d41d0b2690fa235887900179ff28314a" w:id="2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机械卡涩与润滑失效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由于开关柜长期运行，机构可能出现机械卡涩。此时，电机虽然带电运转，但机构可能停滞在半途。由于物理触点的虚假接触或偏离，传感器可能产生“信号滞后”，向后台上报错误的到位指令。</w:t>
      </w:r>
    </w:p>
    <w:bookmarkEnd w:id="26"/>
    <w:bookmarkStart w:name="2658b8235af281aa56c665dbba5d0132" w:id="2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环境侵蚀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高湿度环境会导致电气腐蚀，产生干扰信号。</w:t>
      </w:r>
    </w:p>
    <w:bookmarkEnd w:id="27"/>
    <w:bookmarkStart w:name="24d77fc12ac1dbc5b351457bd40ee30b" w:id="28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盲目依赖的代价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一旦运维人员盲目信任单一传感信号，极易发生“带负荷摇动手车”或“带接地刀合闸”等恶性误操作，导致设备爆燃甚至人员伤亡。</w:t>
      </w:r>
    </w:p>
    <w:bookmarkEnd w:id="28"/>
    <w:bookmarkStart w:name="u499e0b9a" w:id="29"/>
    <w:p>
      <w:pPr>
        <w:spacing w:after="50" w:line="360" w:lineRule="auto" w:beforeLines="100"/>
        <w:ind w:left="0"/>
        <w:jc w:val="left"/>
      </w:pPr>
      <w:bookmarkStart w:name="hgtCG" w:id="30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93454a5ac7763c08665cb83ba7193d6c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为了终结传感器“孤证不立”的困境，系统引入了以</w:t>
      </w:r>
      <w:r>
        <w:rPr>
          <w:rFonts w:ascii="宋体" w:hAnsi="Times New Roman" w:eastAsia="宋体"/>
          <w:b/>
          <w:i w:val="false"/>
          <w:color w:val="004347"/>
          <w:sz w:val="22"/>
        </w:rPr>
        <w:t>SR-2010S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单摄像头视频监控装置为核心的视觉防御体系。</w:t>
      </w:r>
    </w:p>
    <w:bookmarkEnd w:id="31"/>
    <w:bookmarkStart w:name="1e43b981a2f5c43d5c5ac537e30fcd81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这不仅仅是“远程看视频”，而是基于AI算法的“双辅助判据”机制。系统将AI识别结果与电气信号进行实时双校核（Double-check）：</w:t>
      </w:r>
    </w:p>
    <w:bookmarkEnd w:id="32"/>
    <w:bookmarkStart w:name="u350eaafc" w:id="33"/>
    <w:p>
      <w:pPr>
        <w:spacing w:after="50" w:line="360" w:lineRule="auto" w:beforeLines="100"/>
        <w:ind w:left="0"/>
        <w:jc w:val="left"/>
      </w:pPr>
      <w:bookmarkStart w:name="uaca06d6a" w:id="34"/>
      <w:r>
        <w:rPr>
          <w:rFonts w:eastAsia="宋体" w:ascii="宋体"/>
        </w:rPr>
        <w:drawing>
          <wp:inline distT="0" distB="0" distL="0" distR="0">
            <wp:extent cx="5841999" cy="58417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166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681b53797bf871c4298e1f2a362dbff1" w:id="35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图像比对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AI通过摄像头实时捕捉断路器室及电缆室的物理画面，识别接地刀和手车的真实物理位置。</w:t>
      </w:r>
    </w:p>
    <w:bookmarkEnd w:id="35"/>
    <w:bookmarkStart w:name="48249e7bba34eabb556960c19b6304f1" w:id="3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二次确认逻辑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当电气信号显示“到位”时，</w:t>
      </w:r>
      <w:r>
        <w:rPr>
          <w:rFonts w:ascii="宋体" w:hAnsi="Times New Roman" w:eastAsia="宋体"/>
          <w:b/>
          <w:i w:val="false"/>
          <w:color w:val="004347"/>
          <w:sz w:val="22"/>
        </w:rPr>
        <w:t>SR-ISEDS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可视化系统必须通过AI画面确认物理位移是否真实发生。只有当“视觉+信号”达成一致，系统才被允许执行下一步操作。这种“眼见为实”的逻辑，是防止“带负荷操作”的最后一道硬闭锁。</w:t>
      </w:r>
    </w:p>
    <w:bookmarkEnd w:id="36"/>
    <w:bookmarkStart w:name="uf77b767c" w:id="37"/>
    <w:p>
      <w:pPr>
        <w:spacing w:after="50" w:line="360" w:lineRule="auto" w:beforeLines="100"/>
        <w:ind w:left="0"/>
        <w:jc w:val="left"/>
      </w:pPr>
      <w:bookmarkStart w:name="xNSxL" w:id="38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cee83bb3fdac959562b3531311ede501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在一键顺控的执行过程中，</w:t>
      </w:r>
      <w:r>
        <w:rPr>
          <w:rFonts w:ascii="宋体" w:hAnsi="Times New Roman" w:eastAsia="宋体"/>
          <w:b/>
          <w:i w:val="false"/>
          <w:color w:val="004347"/>
          <w:sz w:val="22"/>
        </w:rPr>
        <w:t>SR-ISEDS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可视化系统不仅仅是监控者，更是具备“智能决策”能力的专家。</w:t>
      </w:r>
    </w:p>
    <w:bookmarkEnd w:id="39"/>
    <w:bookmarkStart w:name="e5f8e5aab1850776a797921d733256ad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电机堵转保护与自适应逻辑：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当AI视觉监测到机构位移停滞，或系统通过</w:t>
      </w:r>
      <w:r>
        <w:rPr>
          <w:rFonts w:ascii="宋体" w:hAnsi="Times New Roman" w:eastAsia="宋体"/>
          <w:b/>
          <w:i w:val="false"/>
          <w:color w:val="004347"/>
          <w:sz w:val="22"/>
        </w:rPr>
        <w:t>Kgg-03角度传感器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监测到超程、开距异常，以及</w:t>
      </w:r>
      <w:r>
        <w:rPr>
          <w:rFonts w:ascii="宋体" w:hAnsi="Times New Roman" w:eastAsia="宋体"/>
          <w:b/>
          <w:i w:val="false"/>
          <w:color w:val="004347"/>
          <w:sz w:val="22"/>
        </w:rPr>
        <w:t>SR-MOTO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监测到电机电流瞬时增大（堵转）时，系统会启动强力的闭环保护：</w:t>
      </w:r>
    </w:p>
    <w:bookmarkEnd w:id="40"/>
    <w:bookmarkStart w:name="ud549f822" w:id="41"/>
    <w:p>
      <w:pPr>
        <w:spacing w:after="50" w:line="360" w:lineRule="auto" w:beforeLines="100"/>
        <w:ind w:left="0"/>
        <w:jc w:val="left"/>
      </w:pPr>
      <w:bookmarkStart w:name="uf00c82f2" w:id="42"/>
      <w:r>
        <w:rPr>
          <w:rFonts w:eastAsia="宋体" w:ascii="宋体"/>
        </w:rPr>
        <w:drawing>
          <wp:inline distT="0" distB="0" distL="0" distR="0">
            <wp:extent cx="5842000" cy="3253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433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5a49086738f3181a455b2785c61f4bd8" w:id="43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一票否决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一旦AI识别结果与电信号不符，系统立即行使“否决权”，强行叫停操作。</w:t>
      </w:r>
    </w:p>
    <w:bookmarkEnd w:id="43"/>
    <w:bookmarkStart w:name="0a65d1063c74228659f01f1a83ea96fa" w:id="44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反转复位机制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系统会控制电机执行“停止 → 反转”，使底盘车或接地刀强制退回至</w:t>
      </w:r>
      <w:r>
        <w:rPr>
          <w:rFonts w:ascii="宋体" w:hAnsi="Times New Roman" w:eastAsia="宋体"/>
          <w:b/>
          <w:i w:val="false"/>
          <w:color w:val="004347"/>
          <w:sz w:val="22"/>
        </w:rPr>
        <w:t>初始位置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并发出告警。</w:t>
      </w:r>
    </w:p>
    <w:bookmarkEnd w:id="44"/>
    <w:bookmarkStart w:name="37f99e8f02bb23d00c10f9a09f2403a2" w:id="4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专家诊断（Reasoning &amp; Inference）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系统会结合T1-T7时间定值、电压波动和电流曲线进行“原因推断”，判定是瞬时电压波动还是机械异物阻碍，并由</w:t>
      </w:r>
      <w:r>
        <w:rPr>
          <w:rFonts w:ascii="宋体" w:hAnsi="Times New Roman" w:eastAsia="宋体"/>
          <w:b/>
          <w:i w:val="false"/>
          <w:color w:val="004347"/>
          <w:sz w:val="22"/>
        </w:rPr>
        <w:t>SR-HMI 10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本地屏实时提示处置建议。</w:t>
      </w:r>
    </w:p>
    <w:bookmarkEnd w:id="45"/>
    <w:bookmarkStart w:name="u69b228e2" w:id="46"/>
    <w:p>
      <w:pPr>
        <w:spacing w:after="50" w:line="360" w:lineRule="auto" w:beforeLines="100"/>
        <w:ind w:left="0"/>
        <w:jc w:val="left"/>
      </w:pPr>
      <w:bookmarkStart w:name="S3xuw" w:id="47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7d64421b01c6b5d7c422ae38bddb422b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从“单站本地顺控”向“智能决策+态势感知”演进，是电力运维的必然路径。我们必须清醒地认识到：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安全不应建立在对单一信号的信任之上，而应建立在“视觉还原现实”的逻辑之上。</w:t>
      </w:r>
    </w:p>
    <w:bookmarkEnd w:id="48"/>
    <w:bookmarkStart w:name="b51436fa47f0c55465f6eba9e2e1d076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通过将</w:t>
      </w:r>
      <w:r>
        <w:rPr>
          <w:rFonts w:ascii="宋体" w:hAnsi="Times New Roman" w:eastAsia="宋体"/>
          <w:b/>
          <w:i w:val="false"/>
          <w:color w:val="004347"/>
          <w:sz w:val="22"/>
        </w:rPr>
        <w:t>SR-IED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测控终端的精准控制与AI视觉的“双辅助判据”深度融合，我们赋予了开关柜“看得见、听得懂、会思考”的能力。只有消除传感信号的盲区，让系统在面对异常时敢于“说不”，才能真正守护无人值守变电站的安全底线，为新型电力系统建设提供坚实的数字防线。</w:t>
      </w:r>
    </w:p>
    <w:bookmarkEnd w:id="49"/>
    <w:bookmarkStart w:name="7651262c2e138e4b86bd4cbfa565372b" w:id="50"/>
    <w:p>
      <w:pPr>
        <w:spacing w:after="50" w:line="360" w:lineRule="auto" w:beforeLines="100"/>
        <w:ind w:left="0"/>
        <w:jc w:val="left"/>
      </w:pPr>
      <w:bookmarkStart w:name="u84891859" w:id="51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33cab519" w:id="52"/>
    <w:p>
      <w:pPr>
        <w:spacing w:after="50" w:line="360" w:lineRule="auto" w:beforeLines="100"/>
        <w:ind w:left="0"/>
        <w:jc w:val="left"/>
      </w:pPr>
      <w:bookmarkStart w:name="u23df1d88" w:id="53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  <w:bookmarkStart w:name="u88d305b8" w:id="54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2"/>
    <w:bookmarkStart w:name="u2d29b052" w:id="55"/>
    <w:p>
      <w:pPr>
        <w:spacing w:after="50" w:line="360" w:lineRule="auto" w:beforeLines="100"/>
        <w:ind w:left="0"/>
        <w:jc w:val="left"/>
      </w:pPr>
      <w:bookmarkStart w:name="ue16fd594" w:id="56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a562738e" w:id="57"/>
    <w:p>
      <w:pPr>
        <w:spacing w:after="50" w:line="360" w:lineRule="auto" w:beforeLines="100"/>
        <w:ind w:left="0"/>
        <w:jc w:val="left"/>
      </w:pPr>
      <w:bookmarkStart w:name="pAQgQ" w:id="58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3" cy="10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7"/>
    <w:bookmarkStart w:name="u565c4b8b" w:id="59"/>
    <w:p>
      <w:pPr>
        <w:spacing w:after="50" w:line="360" w:lineRule="auto" w:beforeLines="100"/>
        <w:ind w:left="0"/>
        <w:jc w:val="left"/>
      </w:pPr>
      <w:bookmarkStart w:name="ufcb249cf" w:id="60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  <w:bookmarkStart w:name="u619e7d96" w:id="61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  <w:bookmarkStart w:name="u4e5912f2" w:id="62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  <w:bookmarkStart w:name="ua8d7d0cb" w:id="63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  <w:bookmarkStart w:name="ud267e0ce" w:id="64"/>
      <w:r>
        <w:rPr>
          <w:rFonts w:eastAsia="宋体" w:ascii="宋体"/>
        </w:rPr>
        <w:drawing>
          <wp:inline distT="0" distB="0" distL="0" distR="0">
            <wp:extent cx="5841999" cy="2868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4266" cy="40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5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