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【轨物洞见】2026存量电站“零熵增”技改评估报告：30分钟非侵入式数字化焕新路径实践</w:t>
      </w:r>
    </w:p>
    <w:bookmarkEnd w:id="0"/>
    <w:bookmarkStart w:name="zIwsW" w:id="1"/>
    <w:p>
      <w:pPr>
        <w:pStyle w:val="Heading1"/>
        <w:spacing w:after="50" w:line="360" w:lineRule="auto" w:beforeLines="100"/>
        <w:ind w:left="0"/>
        <w:jc w:val="left"/>
      </w:pPr>
      <w:bookmarkStart w:name="fC6Tt" w:id="2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1"/>
    <w:bookmarkStart w:name="u1dde0407" w:id="3"/>
    <w:p>
      <w:pPr>
        <w:spacing w:after="50" w:line="360" w:lineRule="auto" w:beforeLines="100"/>
        <w:ind w:left="0"/>
        <w:jc w:val="left"/>
      </w:pPr>
      <w:bookmarkStart w:name="udbd50ed6" w:id="4"/>
      <w:r>
        <w:rPr>
          <w:rFonts w:eastAsia="宋体" w:ascii="宋体"/>
        </w:rPr>
        <w:drawing>
          <wp:inline distT="0" distB="0" distL="0" distR="0">
            <wp:extent cx="5842000" cy="78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53067" cy="1868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2211cfa9" w:id="5"/>
    <w:p>
      <w:pPr>
        <w:spacing w:after="50" w:line="360" w:lineRule="auto" w:beforeLines="100"/>
        <w:ind w:left="0"/>
        <w:jc w:val="left"/>
      </w:pPr>
      <w:bookmarkStart w:name="u08890b2e" w:id="6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159dc6ae5f579a1860a77035e835d13a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能源资产管理的“第一性原理”审视，中国目前超过400GW的存量光伏资产正处于系统性的物理衰减与管理失控中。在热力学框架下，这被称为“熵增”：随着时间推移，设备老化、效率衰减、品牌杂乱导致的“协议孤岛”以及2G退网引发的“失联危机”，正将电站推向无序状态。</w:t>
      </w:r>
    </w:p>
    <w:bookmarkEnd w:id="7"/>
    <w:bookmarkStart w:name="96a40409f42f243c704dc291f4d74d2d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当前光伏电站业主面临的“利润黑洞”集中体现为三大现状：</w:t>
      </w:r>
    </w:p>
    <w:bookmarkEnd w:id="8"/>
    <w:bookmarkStart w:name="6cbd4ed0b59b91ce46da15b11a60d974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器材杂（Babel Tower）：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早期建设的“万国牌”设备共存，数据格式互不兼容，运维如同在巴别塔下沟通。</w:t>
      </w:r>
    </w:p>
    <w:bookmarkEnd w:id="9"/>
    <w:bookmarkStart w:name="9e4f4713a4a232b2c461dda96a5d93b1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效率低（Energy Input Loss）：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传统人工抄表与盲维巡检仅属于“低效率的能量输入”，难以对抗电站的自然损耗。</w:t>
      </w:r>
    </w:p>
    <w:bookmarkEnd w:id="10"/>
    <w:bookmarkStart w:name="bea2348915f9fef506939fef608ce46a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糊涂账（Information Silos）：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逆变器读数与结算表单存在5%以上的偏差，消失的电费去向不明，资产持有者陷入深度“盲维”焦虑。</w:t>
      </w:r>
    </w:p>
    <w:bookmarkEnd w:id="11"/>
    <w:bookmarkStart w:name="u39068e07" w:id="12"/>
    <w:p>
      <w:pPr>
        <w:spacing w:after="50" w:line="360" w:lineRule="auto" w:beforeLines="100"/>
        <w:ind w:left="0"/>
        <w:jc w:val="left"/>
      </w:pPr>
      <w:bookmarkStart w:name="u673280a4" w:id="13"/>
      <w:r>
        <w:rPr>
          <w:rFonts w:eastAsia="宋体" w:ascii="宋体"/>
        </w:rPr>
        <w:drawing>
          <wp:inline distT="0" distB="0" distL="0" distR="0">
            <wp:extent cx="5842000" cy="39199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23334" cy="1732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6d0cdd46e9de30f3a2b53111cb2f1f59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2G退网不仅是通讯技术的迭代，更是存量电站的一场“生存危机”。大量资产正漂流在数字荒漠中，亟需一场非侵入式的“数字化救援”。</w:t>
      </w:r>
    </w:p>
    <w:bookmarkEnd w:id="14"/>
    <w:bookmarkStart w:name="u10440c90" w:id="15"/>
    <w:p>
      <w:pPr>
        <w:spacing w:after="50" w:line="360" w:lineRule="auto" w:beforeLines="100"/>
        <w:ind w:left="0"/>
        <w:jc w:val="left"/>
      </w:pPr>
      <w:bookmarkStart w:name="wEZUT" w:id="16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67c8e5c8210632e053e66277b2054c54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面对电站沉疴，传统的“截肢手术”式技改（剪线接线、断电停机）往往产生严重的“医源性损伤”：施工风险高、停产损失大、审批流程冗长。</w:t>
      </w:r>
    </w:p>
    <w:bookmarkEnd w:id="17"/>
    <w:bookmarkStart w:name="d1bf66d12c72f032d362101f4055f457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我们提倡的“零熵增”技改，其最高准则为：</w:t>
      </w:r>
      <w:r>
        <w:rPr>
          <w:rFonts w:ascii="宋体" w:hAnsi="Times New Roman" w:eastAsia="宋体"/>
          <w:b/>
          <w:i w:val="false"/>
          <w:color w:val="004347"/>
          <w:sz w:val="22"/>
        </w:rPr>
        <w:t>不动电气线路、零停电、零审批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。通过注入算法驱动的“负熵”，在不扰动原有物理秩序的前提下实现功能的跨代升级。这本质上是一场“微创手术”，让电站从传统的保姆式运维进化为高精度的审计式管理。</w:t>
      </w:r>
    </w:p>
    <w:bookmarkEnd w:id="18"/>
    <w:bookmarkStart w:name="u6d7bd759" w:id="19"/>
    <w:p>
      <w:pPr>
        <w:spacing w:after="50" w:line="360" w:lineRule="auto" w:beforeLines="100"/>
        <w:ind w:left="0"/>
        <w:jc w:val="left"/>
      </w:pPr>
      <w:bookmarkStart w:name="ud90a4af9" w:id="20"/>
      <w:r>
        <w:rPr>
          <w:rFonts w:eastAsia="宋体" w:ascii="宋体"/>
        </w:rPr>
        <w:drawing>
          <wp:inline distT="0" distB="0" distL="0" distR="0">
            <wp:extent cx="5842000" cy="391994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40266" cy="1733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373e5aa5" w:id="21"/>
    <w:p>
      <w:pPr>
        <w:spacing w:after="50" w:line="360" w:lineRule="auto" w:beforeLines="100"/>
        <w:ind w:left="0"/>
        <w:jc w:val="left"/>
      </w:pPr>
      <w:bookmarkStart w:name="u578d2726" w:id="22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d9507fb2be339c6287dcabb80a11397d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轨物科技构建了“感知-连接-保护”三位一体的非侵入式硬件矩阵。</w:t>
      </w:r>
    </w:p>
    <w:bookmarkEnd w:id="23"/>
    <w:bookmarkStart w:name="u6980b81c" w:id="24"/>
    <w:p>
      <w:pPr>
        <w:spacing w:after="50" w:line="360" w:lineRule="auto" w:beforeLines="100"/>
        <w:ind w:left="0"/>
        <w:jc w:val="left"/>
      </w:pPr>
      <w:bookmarkStart w:name="u157bdda4" w:id="25"/>
      <w:r>
        <w:rPr>
          <w:rFonts w:eastAsia="宋体" w:ascii="宋体"/>
        </w:rPr>
        <w:drawing>
          <wp:inline distT="0" distB="0" distL="0" distR="0">
            <wp:extent cx="5842000" cy="24648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8266" cy="254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ua1579be7" w:id="26"/>
    <w:p>
      <w:pPr>
        <w:spacing w:after="50" w:line="360" w:lineRule="auto" w:beforeLines="100"/>
        <w:ind w:left="0"/>
        <w:jc w:val="left"/>
      </w:pPr>
      <w:bookmarkStart w:name="AKA9r" w:id="27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1e293dbecd0b539df62ee2a96e6d5db2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标准化的“微创手术”将施工周期从“周”压缩至“分钟”，巡检员顺手即可完成部署：</w:t>
      </w:r>
    </w:p>
    <w:bookmarkEnd w:id="28"/>
    <w:bookmarkStart w:name="3ed94e498be8d27f5a24c98bc4cb4e1e" w:id="2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0min 无感进场：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电站维持满负载运行，无需停机申请，无需电网报备。</w:t>
      </w:r>
    </w:p>
    <w:bookmarkEnd w:id="29"/>
    <w:bookmarkStart w:name="1065e88278b27d67d8870b157c328e93" w:id="30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10min 微创植入：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极速完成数据棒插拔、红外贴磁吸及测温探头卡扣。</w:t>
      </w:r>
    </w:p>
    <w:bookmarkEnd w:id="30"/>
    <w:bookmarkStart w:name="b566bfb928ec7ae53b0c8861340a0a6a" w:id="31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20min 数字握手：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APP扫码绑定，边缘网关自动识别协议栈，完成端-云协议清洗。</w:t>
      </w:r>
    </w:p>
    <w:bookmarkEnd w:id="31"/>
    <w:bookmarkStart w:name="14a9a20fcf49abeea8b503f2c03754e1" w:id="32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30min 数字化上线：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云端即刻输出PR值分析、线缆温升曲线及收益报表。</w:t>
      </w:r>
    </w:p>
    <w:bookmarkEnd w:id="32"/>
    <w:bookmarkStart w:name="ucc97276f" w:id="33"/>
    <w:p>
      <w:pPr>
        <w:spacing w:after="50" w:line="360" w:lineRule="auto" w:beforeLines="100"/>
        <w:ind w:left="0"/>
        <w:jc w:val="left"/>
      </w:pPr>
      <w:bookmarkStart w:name="ub6125617" w:id="34"/>
      <w:r>
        <w:rPr>
          <w:rFonts w:eastAsia="宋体" w:ascii="宋体"/>
        </w:rPr>
        <w:drawing>
          <wp:inline distT="0" distB="0" distL="0" distR="0">
            <wp:extent cx="5842000" cy="39199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823334" cy="1732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c9a7c6b6" w:id="35"/>
    <w:p>
      <w:pPr>
        <w:spacing w:after="50" w:line="360" w:lineRule="auto" w:beforeLines="100"/>
        <w:ind w:left="0"/>
        <w:jc w:val="left"/>
      </w:pPr>
      <w:bookmarkStart w:name="UwvkO" w:id="36"/>
      <w:r>
        <w:rPr>
          <w:rFonts w:eastAsia="宋体" w:ascii="宋体"/>
        </w:rPr>
        <w:drawing>
          <wp:inline distT="0" distB="0" distL="0" distR="0">
            <wp:extent cx="5842000" cy="13085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196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3377297b0d910c83fe60aa7e40e26ba7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基于TCO模型，我们对比了轨物方案与传统方案在100kW工商业电站25年生命周期的成本效益。</w:t>
      </w:r>
    </w:p>
    <w:bookmarkEnd w:id="37"/>
    <w:bookmarkStart w:name="u027257d9" w:id="38"/>
    <w:p>
      <w:pPr>
        <w:spacing w:after="50" w:line="360" w:lineRule="auto" w:beforeLines="100"/>
        <w:ind w:left="0"/>
        <w:jc w:val="left"/>
      </w:pPr>
      <w:bookmarkStart w:name="uae31a3d2" w:id="39"/>
      <w:r>
        <w:rPr>
          <w:rFonts w:eastAsia="宋体" w:ascii="宋体"/>
        </w:rPr>
        <w:drawing>
          <wp:inline distT="0" distB="0" distL="0" distR="0">
            <wp:extent cx="5841999" cy="21402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60534" cy="218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8"/>
    <w:bookmarkStart w:name="f519c8eea5046d28af0938f331eef197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财务逻辑：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轨物方案首期CAPEX已包含5年期服务包，静态ROI超过500%。TCO为负数意味着：数字化系统已通过“找回电量”实现了自我回本。</w:t>
      </w:r>
    </w:p>
    <w:bookmarkEnd w:id="40"/>
    <w:bookmarkStart w:name="udc3e5308" w:id="41"/>
    <w:p>
      <w:pPr>
        <w:spacing w:after="50" w:line="360" w:lineRule="auto" w:beforeLines="100"/>
        <w:ind w:left="0"/>
        <w:jc w:val="left"/>
      </w:pPr>
      <w:bookmarkStart w:name="jJNhT" w:id="42"/>
      <w:r>
        <w:rPr>
          <w:rFonts w:eastAsia="宋体" w:ascii="宋体"/>
        </w:rPr>
        <w:drawing>
          <wp:inline distT="0" distB="0" distL="0" distR="0">
            <wp:extent cx="5842000" cy="12676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20666" cy="18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0ce2c3c61120eda679ee1749f07e4d41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传统监测只是“体温计”，告诉您电站“发烧”了；轨物AI则是“磁共振（MRI）”，精准定位病灶。</w:t>
      </w:r>
    </w:p>
    <w:bookmarkEnd w:id="43"/>
    <w:bookmarkStart w:name="582eca2e5236ecb702fe7e4e0007a0e9" w:id="4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双轨对账系统：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将红外抄表贴读取的“关口表物理真值”与逆变器上报数据实时比对。通过对账算法，自动揪出由于线损异常、偷漏电或计量故障导致的收益偏差。</w:t>
      </w:r>
    </w:p>
    <w:bookmarkEnd w:id="44"/>
    <w:bookmarkStart w:name="8e2db940cb6c84038b692fd257cd9718" w:id="4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I-V 曲线指纹识别：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无需昂贵的无人机，AI引擎通过电压-电流指纹特征，远程识别阴影遮挡、组件隐裂、二极管击穿等10+种亚健康状态。</w:t>
      </w:r>
    </w:p>
    <w:bookmarkEnd w:id="45"/>
    <w:bookmarkStart w:name="a2a8440cedb7f123622d7adf1f5f856e" w:id="4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 积尘审计：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系统结合局部气象数据与AI诊断，精准计算积尘损失收益与清洗成本的临界点，平衡清洗频次，实现“算力替代人力”的利润最大化。</w:t>
      </w:r>
    </w:p>
    <w:bookmarkEnd w:id="46"/>
    <w:bookmarkStart w:name="u59bfa2e2" w:id="47"/>
    <w:p>
      <w:pPr>
        <w:spacing w:after="50" w:line="360" w:lineRule="auto" w:beforeLines="100"/>
        <w:ind w:left="0"/>
        <w:jc w:val="left"/>
      </w:pPr>
      <w:bookmarkStart w:name="u86e3940d" w:id="48"/>
      <w:r>
        <w:rPr>
          <w:rFonts w:eastAsia="宋体" w:ascii="宋体"/>
        </w:rPr>
        <w:drawing>
          <wp:inline distT="0" distB="0" distL="0" distR="0">
            <wp:extent cx="5842000" cy="39199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23334" cy="1732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u940f8c4f" w:id="49"/>
    <w:p>
      <w:pPr>
        <w:spacing w:after="50" w:line="360" w:lineRule="auto" w:beforeLines="100"/>
        <w:ind w:left="0"/>
        <w:jc w:val="left"/>
      </w:pPr>
      <w:bookmarkStart w:name="oT2JD" w:id="50"/>
      <w:r>
        <w:rPr>
          <w:rFonts w:eastAsia="宋体" w:ascii="宋体"/>
        </w:rPr>
        <w:drawing>
          <wp:inline distT="0" distB="0" distL="0" distR="0">
            <wp:extent cx="5842000" cy="136694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20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9ba3ac7f829fd6ae3b5b26d9b7a09554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在老旧电站运维中，安全是防守的盾。边缘网关通过热力分析逻辑，对并网柜关键节点设定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70°C 预警 / 80°C 告警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阈值，从根源杜绝“热失控”引发的火灾。</w:t>
      </w:r>
    </w:p>
    <w:bookmarkEnd w:id="51"/>
    <w:bookmarkStart w:name="c96946f73fdd5866c37eda10d8429cae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通过“审计式管理”，运维商能够实现：</w:t>
      </w:r>
      <w:r>
        <w:rPr>
          <w:rFonts w:ascii="宋体" w:hAnsi="Times New Roman" w:eastAsia="宋体"/>
          <w:b/>
          <w:i w:val="false"/>
          <w:color w:val="000000"/>
          <w:sz w:val="22"/>
        </w:rPr>
        <w:t>“</w:t>
      </w:r>
      <w:r>
        <w:rPr>
          <w:rFonts w:ascii="宋体" w:hAnsi="Times New Roman" w:eastAsia="宋体"/>
          <w:b/>
          <w:i w:val="false"/>
          <w:color w:val="004347"/>
          <w:sz w:val="22"/>
        </w:rPr>
        <w:t>规模扩大一倍，人员零增加</w:t>
      </w:r>
      <w:r>
        <w:rPr>
          <w:rFonts w:ascii="宋体" w:hAnsi="Times New Roman" w:eastAsia="宋体"/>
          <w:b/>
          <w:i w:val="false"/>
          <w:color w:val="000000"/>
          <w:sz w:val="22"/>
        </w:rPr>
        <w:t>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。系统生成的亚秒级时序日志（SOE）不仅是故障排查的依据，更是规避安全责任的“免责金牌”与“数字化法律证据”，证明运维方已尽勤勉义务。</w:t>
      </w:r>
    </w:p>
    <w:bookmarkEnd w:id="52"/>
    <w:bookmarkStart w:name="f2af0eb3e33a55580af7b8beb84ba493" w:id="53"/>
    <w:p>
      <w:pPr>
        <w:spacing w:after="50" w:line="360" w:lineRule="auto" w:beforeLines="100"/>
        <w:ind w:left="0"/>
        <w:jc w:val="left"/>
      </w:pPr>
      <w:bookmarkStart w:name="DNRhl" w:id="54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u00872bd5" w:id="55"/>
    <w:p>
      <w:pPr>
        <w:spacing w:after="50" w:line="360" w:lineRule="auto" w:beforeLines="100"/>
        <w:ind w:left="0"/>
        <w:jc w:val="left"/>
      </w:pPr>
      <w:bookmarkStart w:name="J96Mf" w:id="56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  <w:bookmarkStart w:name="FqXNE" w:id="57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5"/>
    <w:bookmarkStart w:name="uf65c4dbd" w:id="58"/>
    <w:p>
      <w:pPr>
        <w:spacing w:after="50" w:line="360" w:lineRule="auto" w:beforeLines="100"/>
        <w:ind w:left="0"/>
        <w:jc w:val="left"/>
      </w:pPr>
      <w:bookmarkStart w:name="yb22h" w:id="59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8"/>
    <w:bookmarkStart w:name="u8d960e3c" w:id="60"/>
    <w:bookmarkEnd w:id="60"/>
    <w:bookmarkStart w:name="u0f3d0ffa" w:id="61"/>
    <w:bookmarkEnd w:id="61"/>
    <w:bookmarkStart w:name="ufb93517d" w:id="62"/>
    <w:bookmarkEnd w:id="6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