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image/png" PartName="/word/media/document_image_rId25.png"/>
  <Override ContentType="image/png" PartName="/word/media/document_image_rId26.png"/>
  <Override ContentType="image/png" PartName="/word/media/document_image_rId27.png"/>
  <Override ContentType="image/png" PartName="/word/media/document_image_rId28.png"/>
  <Override ContentType="image/png" PartName="/word/media/document_image_rId29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【轨物洞见】智驱未来：光伏清洁机器人智能控制与运维解决方案全解析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hkDPs" w:id="0"/>
      <w:bookmarkStart w:name="fC6Tt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5ac6a97c39482a6ceee79b5355c43c2a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在能源结构转型与“碳中和”战略的深度驱动下，光伏发电已从辅助能源正式演变为全球主力电源。随着电站规模由兆瓦（MW）级向吉瓦（GW）级指数级跨越，运维模式正经历从“</w:t>
      </w:r>
      <w:r>
        <w:rPr>
          <w:rFonts w:ascii="宋体" w:hAnsi="Times New Roman" w:eastAsia="宋体"/>
          <w:b/>
          <w:i w:val="false"/>
          <w:color w:val="004347"/>
          <w:sz w:val="22"/>
        </w:rPr>
        <w:t>劳动密集型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”向“</w:t>
      </w:r>
      <w:r>
        <w:rPr>
          <w:rFonts w:ascii="宋体" w:hAnsi="Times New Roman" w:eastAsia="宋体"/>
          <w:b/>
          <w:i w:val="false"/>
          <w:color w:val="004347"/>
          <w:sz w:val="22"/>
        </w:rPr>
        <w:t>技术密集型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”的范式转移。本文将从资深顾问视角，深度解析光伏清洁机器人（ARCS）如何通过智能控制与系统协同，成为提升电站全生命周期收益的核心资产。</w:t>
      </w:r>
    </w:p>
    <w:bookmarkEnd w:id="2"/>
    <w:bookmarkStart w:name="u6d089aaa" w:id="3"/>
    <w:p>
      <w:pPr>
        <w:spacing w:after="50" w:line="360" w:lineRule="auto" w:beforeLines="100"/>
        <w:ind w:left="0"/>
        <w:jc w:val="left"/>
      </w:pPr>
      <w:bookmarkStart w:name="uc85c0ee7" w:id="4"/>
      <w:r>
        <w:rPr>
          <w:rFonts w:eastAsia="宋体" w:ascii="宋体"/>
        </w:rPr>
        <w:drawing>
          <wp:inline distT="0" distB="0" distL="0" distR="0">
            <wp:extent cx="5842000" cy="31137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0" cy="23800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u8d55f2bb" w:id="5"/>
    <w:p>
      <w:pPr>
        <w:spacing w:after="50" w:line="360" w:lineRule="auto" w:beforeLines="100"/>
        <w:ind w:left="0"/>
        <w:jc w:val="left"/>
      </w:pPr>
      <w:bookmarkStart w:name="ub988bb12" w:id="6"/>
      <w:r>
        <w:rPr>
          <w:rFonts w:eastAsia="宋体" w:ascii="宋体"/>
        </w:rPr>
        <w:drawing>
          <wp:inline distT="0" distB="0" distL="0" distR="0">
            <wp:extent cx="5842000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392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bookmarkEnd w:id="5"/>
    <w:bookmarkStart w:name="2d660dfe71b7518d9bd2239ad7b10ef6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全球光伏市场正步入爆发式增长的黄金期。2024年，全球新增装机容量突破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/>
          <w:i w:val="false"/>
          <w:color w:val="004347"/>
          <w:sz w:val="22"/>
        </w:rPr>
        <w:t>600GW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，累计装机规模已达 </w:t>
      </w:r>
      <w:r>
        <w:rPr>
          <w:rFonts w:ascii="宋体" w:hAnsi="Times New Roman" w:eastAsia="宋体"/>
          <w:b/>
          <w:i w:val="false"/>
          <w:color w:val="004347"/>
          <w:sz w:val="22"/>
        </w:rPr>
        <w:t>2.2TW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。中国以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/>
          <w:i w:val="false"/>
          <w:color w:val="004347"/>
          <w:sz w:val="22"/>
        </w:rPr>
        <w:t>277.57GW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的年新增容量稳居全球之首，而新兴市场如中东及北非（MENA）地区累计装机已达 </w:t>
      </w:r>
      <w:r>
        <w:rPr>
          <w:rFonts w:ascii="宋体" w:hAnsi="Times New Roman" w:eastAsia="宋体"/>
          <w:b/>
          <w:i w:val="false"/>
          <w:color w:val="004347"/>
          <w:sz w:val="22"/>
        </w:rPr>
        <w:t>24GW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，智利等南美市场增速亦突破 </w:t>
      </w:r>
      <w:r>
        <w:rPr>
          <w:rFonts w:ascii="宋体" w:hAnsi="Times New Roman" w:eastAsia="宋体"/>
          <w:b/>
          <w:i w:val="false"/>
          <w:color w:val="004347"/>
          <w:sz w:val="22"/>
        </w:rPr>
        <w:t>40%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7"/>
    <w:bookmarkStart w:name="940e6f98b3c71b5ebd7b4485c70c0b38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然而，装机规模的扩张加剧了</w:t>
      </w:r>
      <w:r>
        <w:rPr>
          <w:rFonts w:ascii="宋体" w:hAnsi="Times New Roman" w:eastAsia="宋体"/>
          <w:b/>
          <w:i w:val="false"/>
          <w:color w:val="004347"/>
          <w:sz w:val="22"/>
        </w:rPr>
        <w:t>积灰损失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这一系统性挑战。环境积尘通过物理遮挡、光谱过滤（颗粒物选择性吸收特定波长光子）以及诱发局部“热斑效应”，导致发电效率普遍下降 17%-25%。在沙尘频发的干旱地区，单次有效清洁可使发电量瞬时提升约 </w:t>
      </w:r>
      <w:r>
        <w:rPr>
          <w:rFonts w:ascii="宋体" w:hAnsi="Times New Roman" w:eastAsia="宋体"/>
          <w:b/>
          <w:i w:val="false"/>
          <w:color w:val="004347"/>
          <w:sz w:val="22"/>
        </w:rPr>
        <w:t>50%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。据IEA测算，仅2023年灰损导致的全球经济损失便高达40亿至70亿欧元。</w:t>
      </w:r>
    </w:p>
    <w:bookmarkEnd w:id="8"/>
    <w:bookmarkStart w:name="53fbda39cffaa13c5ea50aa4f6f6efba" w:id="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面对这一瓶颈，运维变革势在必行：</w:t>
      </w:r>
    </w:p>
    <w:bookmarkEnd w:id="9"/>
    <w:bookmarkStart w:name="07193667ac8a1b7b40c520c654ebb75e" w:id="10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传统人工运维：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依赖“人海战术”，不仅效率低下且随人工成本激增而严重侵蚀利润，更存在触电、坠落及损坏组件边框的隐性安全风险。</w:t>
      </w:r>
    </w:p>
    <w:bookmarkEnd w:id="10"/>
    <w:bookmarkStart w:name="bedf2d36028258526967b50cfba6487e" w:id="11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自动化机器人运维（ARCS）：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通过高频、标准化、无水清扫，将运维逻辑从“故障补救”升级为“预测性收益保障”，是降低度电成本（LCOE）的必然选择。</w:t>
      </w:r>
    </w:p>
    <w:bookmarkEnd w:id="11"/>
    <w:bookmarkStart w:name="u96c4a60c" w:id="12"/>
    <w:p>
      <w:pPr>
        <w:spacing w:after="50" w:line="360" w:lineRule="auto" w:beforeLines="100"/>
        <w:ind w:left="0"/>
        <w:jc w:val="left"/>
      </w:pPr>
      <w:bookmarkStart w:name="u1edf220f" w:id="13"/>
      <w:r>
        <w:rPr>
          <w:rFonts w:eastAsia="宋体" w:ascii="宋体"/>
        </w:rPr>
        <w:drawing>
          <wp:inline distT="0" distB="0" distL="0" distR="0">
            <wp:extent cx="5842000" cy="325982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335066" cy="1246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bookmarkEnd w:id="12"/>
    <w:bookmarkStart w:name="u0d60d0b5" w:id="14"/>
    <w:p>
      <w:pPr>
        <w:spacing w:after="50" w:line="360" w:lineRule="auto" w:beforeLines="100"/>
        <w:ind w:left="0"/>
        <w:jc w:val="left"/>
      </w:pPr>
      <w:bookmarkStart w:name="KFzKp" w:id="15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</w:p>
    <w:bookmarkEnd w:id="14"/>
    <w:bookmarkStart w:name="810ab4d82bc65c288a84481837c1d618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智能硬件是实现“无人值守”自主运维的技术底座。根据电站对动力系统的差异化需求，行业提供了无刷与有刷两种主流硬件架构。</w:t>
      </w:r>
    </w:p>
    <w:bookmarkEnd w:id="16"/>
    <w:bookmarkStart w:name="ue656993d" w:id="17"/>
    <w:p>
      <w:pPr>
        <w:spacing w:after="50" w:line="360" w:lineRule="auto" w:beforeLines="100"/>
        <w:ind w:left="0"/>
        <w:jc w:val="left"/>
      </w:pPr>
      <w:bookmarkStart w:name="u9e4c6426" w:id="18"/>
      <w:r>
        <w:rPr>
          <w:rFonts w:eastAsia="宋体" w:ascii="宋体"/>
        </w:rPr>
        <w:drawing>
          <wp:inline distT="0" distB="0" distL="0" distR="0">
            <wp:extent cx="5841999" cy="285808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9734" cy="2891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"/>
    </w:p>
    <w:bookmarkEnd w:id="17"/>
    <w:bookmarkStart w:name="61856e8776f36c5506252ddf6b03eb4b" w:id="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配套的</w:t>
      </w:r>
      <w:r>
        <w:rPr>
          <w:rFonts w:ascii="宋体" w:hAnsi="Times New Roman" w:eastAsia="宋体"/>
          <w:b/>
          <w:i w:val="false"/>
          <w:color w:val="004347"/>
          <w:sz w:val="22"/>
        </w:rPr>
        <w:t>无线组网网关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在空旷环境下覆盖距离达 5km，结合ADR（自适应速率）技术与LTE快速部署，实现了海量设备的高效低耗组网。</w:t>
      </w:r>
    </w:p>
    <w:bookmarkEnd w:id="19"/>
    <w:bookmarkStart w:name="u8b81fbe8" w:id="20"/>
    <w:p>
      <w:pPr>
        <w:spacing w:after="50" w:line="360" w:lineRule="auto" w:beforeLines="100"/>
        <w:ind w:left="0"/>
        <w:jc w:val="left"/>
      </w:pPr>
      <w:bookmarkStart w:name="u85ab81fb" w:id="21"/>
      <w:r>
        <w:rPr>
          <w:rFonts w:eastAsia="宋体" w:ascii="宋体"/>
        </w:rPr>
        <w:drawing>
          <wp:inline distT="0" distB="0" distL="0" distR="0">
            <wp:extent cx="5841999" cy="325981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318134" cy="1245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bookmarkEnd w:id="20"/>
    <w:bookmarkStart w:name="ue29db39e" w:id="22"/>
    <w:p>
      <w:pPr>
        <w:spacing w:after="50" w:line="360" w:lineRule="auto" w:beforeLines="100"/>
        <w:ind w:left="0"/>
        <w:jc w:val="left"/>
      </w:pPr>
      <w:bookmarkStart w:name="tfzqC" w:id="23"/>
      <w:r>
        <w:rPr>
          <w:rFonts w:eastAsia="宋体" w:ascii="宋体"/>
        </w:rPr>
        <w:drawing>
          <wp:inline distT="0" distB="0" distL="0" distR="0">
            <wp:extent cx="5842000" cy="13435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403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3"/>
    </w:p>
    <w:bookmarkEnd w:id="22"/>
    <w:bookmarkStart w:name="a75119f99f9553e934f779a7d70580f2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智能控制系统作为机器人的“大脑”，通过算法赋能硬件，攻克了长阵列运行中的姿态偏移难题。</w:t>
      </w:r>
    </w:p>
    <w:bookmarkEnd w:id="24"/>
    <w:bookmarkStart w:name="8e56efd2f76ca601b13ffee36f9b5a0e" w:id="25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自主姿态识别与矫正算法：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系统利用先进算法实时监测机器人在非结构化组件表面的位姿。当检测到运行偏差时，系统触发“自适应补偿机制”，通过差速调整实现厘米级实时纠偏，彻底规避卡滞或脱轨风险。</w:t>
      </w:r>
    </w:p>
    <w:bookmarkEnd w:id="25"/>
    <w:bookmarkStart w:name="bf9b91d4bcf993c1b2da7ff85ed9d592" w:id="26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多传感器融合定位架构：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采用 </w:t>
      </w:r>
      <w:r>
        <w:rPr>
          <w:rFonts w:ascii="宋体" w:hAnsi="Times New Roman" w:eastAsia="宋体"/>
          <w:b/>
          <w:i w:val="false"/>
          <w:color w:val="004347"/>
          <w:sz w:val="22"/>
        </w:rPr>
        <w:t>GNSS（RTK载波相位差分）+ IMU（三轴陀螺仪）+ 编码器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的深度融合。IMU补偿了卫星信号的短期失效，编码器提供局部相对约束，确保机器人在数百米阵列上实现厘米级绝对定位。</w:t>
      </w:r>
    </w:p>
    <w:bookmarkEnd w:id="26"/>
    <w:bookmarkStart w:name="47524f649fa3d4e99450cb7598c0f4bc" w:id="27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LoRaWAN通信组网：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基于LoRaWAN的星型架构，系统具备强大的数据漫游与抗干扰能力。即使单个节点故障，机器人也能自动切换至相邻通讯箱，确保批量清扫指令的实时响应。</w:t>
      </w:r>
    </w:p>
    <w:bookmarkEnd w:id="27"/>
    <w:bookmarkStart w:name="u059733eb" w:id="28"/>
    <w:p>
      <w:pPr>
        <w:spacing w:after="50" w:line="360" w:lineRule="auto" w:beforeLines="100"/>
        <w:ind w:left="0"/>
        <w:jc w:val="left"/>
      </w:pPr>
      <w:bookmarkStart w:name="u211cfb06" w:id="29"/>
      <w:r>
        <w:rPr>
          <w:rFonts w:eastAsia="宋体" w:ascii="宋体"/>
        </w:rPr>
        <w:drawing>
          <wp:inline distT="0" distB="0" distL="0" distR="0">
            <wp:extent cx="5842000" cy="325982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335066" cy="1246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9"/>
    </w:p>
    <w:bookmarkEnd w:id="28"/>
    <w:bookmarkStart w:name="ub608512c" w:id="30"/>
    <w:p>
      <w:pPr>
        <w:spacing w:after="50" w:line="360" w:lineRule="auto" w:beforeLines="100"/>
        <w:ind w:left="0"/>
        <w:jc w:val="left"/>
      </w:pPr>
      <w:bookmarkStart w:name="fI9h8" w:id="31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1"/>
    </w:p>
    <w:bookmarkEnd w:id="30"/>
    <w:bookmarkStart w:name="9c3d945d866a30cd7479016bc7abb320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现代运维方案已由“独立设备”进化为“Robot-Module-Tracker”的三位一体系统集成。</w:t>
      </w:r>
    </w:p>
    <w:bookmarkEnd w:id="32"/>
    <w:bookmarkStart w:name="4e4d5b15456d435d941db0904adaad07" w:id="33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机器人适配（Robot Adaptability）：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采用轻量化减材设计；引入柔性连接件替代传统螺栓，为组件提供伸缩余量；配备定制化 PBT柔性刷丝（具备高回弹、低吸水率及耐腐蚀特性），利用停机位的独立电机实现高转速离心自清洁，防止二次污染。</w:t>
      </w:r>
    </w:p>
    <w:bookmarkEnd w:id="33"/>
    <w:bookmarkStart w:name="69c946f2a5fda5a1299f6687b05164a8" w:id="34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组件适配（Module Optimization）：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采用 2.0mm钢化玻璃 增强机械强度；表面减反膜（ARC）铅笔硬度须达到 ≥3H（500g载荷）；通过高性能膜层确保在380-1100nm光谱范围内</w:t>
      </w:r>
      <w:r>
        <w:rPr>
          <w:rFonts w:ascii="宋体" w:hAnsi="Times New Roman" w:eastAsia="宋体"/>
          <w:b/>
          <w:i w:val="false"/>
          <w:color w:val="000000"/>
          <w:sz w:val="22"/>
        </w:rPr>
        <w:t>透光率 ≥94%，即便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长期高频清扫也能维持光子捕获效率。</w:t>
      </w:r>
    </w:p>
    <w:bookmarkEnd w:id="34"/>
    <w:bookmarkStart w:name="109159eca68d232cee84bd6cee2d7dd2" w:id="35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支架适配（Tracker Coordination）：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支架需具备夜间清扫模式切换逻辑，并严格控制安装误差（角度偏差 ±2° 内）。相较于铝合金，钢边框能使自重变形量降低70%，且在极端温差（35℃至-35℃）下的形变控制能力分别提升 91% 和 83%，确保轨道长期运行精度。</w:t>
      </w:r>
    </w:p>
    <w:bookmarkEnd w:id="35"/>
    <w:bookmarkStart w:name="ucb42be0d" w:id="36"/>
    <w:p>
      <w:pPr>
        <w:spacing w:after="50" w:line="360" w:lineRule="auto" w:beforeLines="100"/>
        <w:ind w:left="0"/>
        <w:jc w:val="left"/>
      </w:pPr>
      <w:bookmarkStart w:name="u59ad3ce3" w:id="37"/>
      <w:r>
        <w:rPr>
          <w:rFonts w:eastAsia="宋体" w:ascii="宋体"/>
        </w:rPr>
        <w:drawing>
          <wp:inline distT="0" distB="0" distL="0" distR="0">
            <wp:extent cx="5841999" cy="325981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318134" cy="1245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7"/>
    </w:p>
    <w:bookmarkEnd w:id="36"/>
    <w:bookmarkStart w:name="8532f56b77222a45d0cb8420b37b49f6" w:id="3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SCADA集成避险：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机器人SCADA系统必须与电站气象站及支架状态深度集成。当监测到瞬时风速超限或支架角度异常时，系统需在秒级内触发紧急避险逻辑，将机器人引导至独立停机位，确保设备安全。</w:t>
      </w:r>
    </w:p>
    <w:bookmarkEnd w:id="38"/>
    <w:bookmarkStart w:name="u03e0ab0b" w:id="39"/>
    <w:p>
      <w:pPr>
        <w:spacing w:after="50" w:line="360" w:lineRule="auto" w:beforeLines="100"/>
        <w:ind w:left="0"/>
        <w:jc w:val="left"/>
      </w:pPr>
      <w:bookmarkStart w:name="NHzJl" w:id="40"/>
      <w:r>
        <w:rPr>
          <w:rFonts w:eastAsia="宋体" w:ascii="宋体"/>
        </w:rPr>
        <w:drawing>
          <wp:inline distT="0" distB="0" distL="0" distR="0">
            <wp:extent cx="5842000" cy="130275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492133" cy="390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0"/>
    </w:p>
    <w:bookmarkEnd w:id="39"/>
    <w:bookmarkStart w:name="1901bc4705e01a6ef3a983c08d89bd24" w:id="4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为确保电站25年全生命周期收益，所有方案必须通过基于IEC标准的测试：</w:t>
      </w:r>
    </w:p>
    <w:bookmarkEnd w:id="41"/>
    <w:bookmarkStart w:name="930851a909f61408243415fb26ca0e77" w:id="42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支架匹配测试：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重点监测檩条强度，要求机器人在任何位置运行时，组件最大形变须控制在 20mm 以内，防止应力集中诱发电池片隐裂。</w:t>
      </w:r>
    </w:p>
    <w:bookmarkEnd w:id="42"/>
    <w:bookmarkStart w:name="ec0d76ad1364c2106dc291f264240de4" w:id="43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组件匹配测试：</w:t>
      </w:r>
    </w:p>
    <w:bookmarkEnd w:id="43"/>
    <w:bookmarkStart w:name="199d00fa6c92b19f6002e0b141605875" w:id="44"/>
    <w:p>
      <w:pPr>
        <w:numPr>
          <w:ilvl w:val="1"/>
          <w:numId w:val="5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IV功率性能：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依据IEC 60904-1，在测试前进行 ≥20kWh 的光致衰减（LID）预处理，确保Pmax、Voc、Isc等参数的准确度。</w:t>
      </w:r>
    </w:p>
    <w:bookmarkEnd w:id="44"/>
    <w:bookmarkStart w:name="010656502335a5494d0e6a032d895617" w:id="45"/>
    <w:p>
      <w:pPr>
        <w:numPr>
          <w:ilvl w:val="1"/>
          <w:numId w:val="5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EL隐裂扫描：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使用 近红外CCD相机（700-1200nm） 进行100%覆盖全量检测。</w:t>
      </w:r>
    </w:p>
    <w:bookmarkEnd w:id="45"/>
    <w:bookmarkStart w:name="c8d3362c3a7f6748bbb575cafc422283" w:id="46"/>
    <w:p>
      <w:pPr>
        <w:numPr>
          <w:ilvl w:val="1"/>
          <w:numId w:val="5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循环寿命测试：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模拟清扫 10,000次 循环，确保涂层不退化、框架无损伤。</w:t>
      </w:r>
    </w:p>
    <w:bookmarkEnd w:id="46"/>
    <w:bookmarkStart w:name="3c672077f5463dd817c24f2ec7137a2f" w:id="47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判定标准：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任何电池片裂片、黑斑、划痕或气泡在检测中均为“零容忍”标准。</w:t>
      </w:r>
    </w:p>
    <w:bookmarkEnd w:id="47"/>
    <w:bookmarkStart w:name="u85c83c13" w:id="48"/>
    <w:p>
      <w:pPr>
        <w:spacing w:after="50" w:line="360" w:lineRule="auto" w:beforeLines="100"/>
        <w:ind w:left="0"/>
        <w:jc w:val="left"/>
      </w:pPr>
      <w:bookmarkStart w:name="FdvHS" w:id="49"/>
      <w:r>
        <w:rPr>
          <w:rFonts w:eastAsia="宋体" w:ascii="宋体"/>
        </w:rPr>
        <w:drawing>
          <wp:inline distT="0" distB="0" distL="0" distR="0">
            <wp:extent cx="5841999" cy="126185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458267" cy="377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9"/>
    </w:p>
    <w:bookmarkEnd w:id="48"/>
    <w:bookmarkStart w:name="81609283cbe1845044ad081ec421882f" w:id="5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机器人部署的底层逻辑是实现资产增值。在设计阶段引入集成方案，可最小化初始CAPEX，并利用“</w:t>
      </w:r>
      <w:r>
        <w:rPr>
          <w:rFonts w:ascii="宋体" w:hAnsi="Times New Roman" w:eastAsia="宋体"/>
          <w:b/>
          <w:i w:val="false"/>
          <w:color w:val="004347"/>
          <w:sz w:val="22"/>
        </w:rPr>
        <w:t>每日灰损率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”精准制定清扫策略。</w:t>
      </w:r>
    </w:p>
    <w:bookmarkEnd w:id="50"/>
    <w:bookmarkStart w:name="ud06bb1f1" w:id="51"/>
    <w:p>
      <w:pPr>
        <w:spacing w:after="50" w:line="360" w:lineRule="auto" w:beforeLines="100"/>
        <w:ind w:left="0"/>
        <w:jc w:val="left"/>
      </w:pPr>
      <w:bookmarkStart w:name="u339258b8" w:id="52"/>
      <w:r>
        <w:rPr>
          <w:rFonts w:eastAsia="宋体" w:ascii="宋体"/>
        </w:rPr>
        <w:drawing>
          <wp:inline distT="0" distB="0" distL="0" distR="0">
            <wp:extent cx="5841999" cy="123525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26666" cy="125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2"/>
    </w:p>
    <w:bookmarkEnd w:id="51"/>
    <w:bookmarkStart w:name="0f3fbc51f0a1abdbbcd0357447c2140b" w:id="5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通过部署ARCS，电站平均度电成本可优化5%-15%，是确保高灰损地区项目模型成立的核心变量。</w:t>
      </w:r>
    </w:p>
    <w:bookmarkEnd w:id="53"/>
    <w:bookmarkStart w:name="u9f510eb8" w:id="54"/>
    <w:p>
      <w:pPr>
        <w:spacing w:after="50" w:line="360" w:lineRule="auto" w:beforeLines="100"/>
        <w:ind w:left="0"/>
        <w:jc w:val="left"/>
      </w:pPr>
      <w:bookmarkStart w:name="XWWdG" w:id="55"/>
      <w:r>
        <w:rPr>
          <w:rFonts w:eastAsia="宋体" w:ascii="宋体"/>
        </w:rPr>
        <w:drawing>
          <wp:inline distT="0" distB="0" distL="0" distR="0">
            <wp:extent cx="5842000" cy="136702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4101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5"/>
    </w:p>
    <w:bookmarkEnd w:id="54"/>
    <w:bookmarkStart w:name="b2cdeb5256b0d14bf352a8fc6a5268d5" w:id="5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未来，光伏运维将向</w:t>
      </w:r>
      <w:r>
        <w:rPr>
          <w:rFonts w:ascii="宋体" w:hAnsi="Times New Roman" w:eastAsia="宋体"/>
          <w:b/>
          <w:i w:val="false"/>
          <w:color w:val="004347"/>
          <w:sz w:val="22"/>
        </w:rPr>
        <w:t>全自主化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迈进。技术的演进重点将不再是单一硬件的升级，而是子系统间的“深度解耦”与智慧协同：</w:t>
      </w:r>
    </w:p>
    <w:bookmarkEnd w:id="56"/>
    <w:bookmarkStart w:name="a0558cc696503bd6051ee6e46afff68b" w:id="57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产品形态多样化：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履带式、飞行式机器人将与自动摆渡车及无人机巡检实现跨平台闭环。</w:t>
      </w:r>
    </w:p>
    <w:bookmarkEnd w:id="57"/>
    <w:bookmarkStart w:name="2f78820adfd4e51108dc5d0856236337" w:id="58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数智化驱动：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利用 </w:t>
      </w:r>
      <w:r>
        <w:rPr>
          <w:rFonts w:ascii="宋体" w:hAnsi="Times New Roman" w:eastAsia="宋体"/>
          <w:b/>
          <w:i w:val="false"/>
          <w:color w:val="004347"/>
          <w:sz w:val="22"/>
        </w:rPr>
        <w:t>AI大模型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结合 </w:t>
      </w:r>
      <w:r>
        <w:rPr>
          <w:rFonts w:ascii="宋体" w:hAnsi="Times New Roman" w:eastAsia="宋体"/>
          <w:b/>
          <w:i w:val="false"/>
          <w:color w:val="004347"/>
          <w:sz w:val="22"/>
        </w:rPr>
        <w:t>数字孪生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技术，系统能根据电价波动与天气预测，通过KANO模型中的“魅力属性”优化作业时机。</w:t>
      </w:r>
    </w:p>
    <w:bookmarkEnd w:id="58"/>
    <w:bookmarkStart w:name="902fab021f7f96902f538f7f31e0d155" w:id="59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生态构建：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行业需推动建立涵盖机器人、组件、支架、业主及认证机构的开放协作生态，以“智能化、自动化、精细化”作为衡量未来先进电站的唯一标准。</w:t>
      </w:r>
    </w:p>
    <w:bookmarkEnd w:id="59"/>
    <w:bookmarkStart w:name="0f735be3062e5cc479a6f724a3815dad" w:id="60"/>
    <w:p>
      <w:pPr>
        <w:spacing w:after="50" w:line="360" w:lineRule="auto" w:beforeLines="100"/>
        <w:ind w:left="0"/>
        <w:jc w:val="left"/>
      </w:pPr>
      <w:bookmarkStart w:name="u3109e4a4" w:id="61"/>
      <w:r>
        <w:rPr>
          <w:rFonts w:eastAsia="宋体" w:ascii="宋体"/>
        </w:rPr>
        <w:drawing>
          <wp:inline distT="0" distB="0" distL="0" distR="0">
            <wp:extent cx="5842000" cy="325982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335066" cy="1246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1"/>
    </w:p>
    <w:bookmarkEnd w:id="60"/>
    <w:bookmarkStart w:name="RJDhI" w:id="6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附录：专业术语表</w:t>
      </w:r>
    </w:p>
    <w:bookmarkEnd w:id="62"/>
    <w:bookmarkStart w:name="cc6d6b682ae371d26928e0b9d6a5ec15" w:id="63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ARCS: Automated Robotic Cleaning System，光伏清扫机器人系统。</w:t>
      </w:r>
    </w:p>
    <w:bookmarkEnd w:id="63"/>
    <w:bookmarkStart w:name="a29fa6d35a7ecc2d629402ab716c3a92" w:id="64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SCADA: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数据采集与监视控制系统，用于实时监控电站运行状态。</w:t>
      </w:r>
    </w:p>
    <w:bookmarkEnd w:id="64"/>
    <w:bookmarkStart w:name="4a7ff7747817341b9a67e8e0f2ee3dc2" w:id="65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LID: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Light Induced Degradation，光致衰减。</w:t>
      </w:r>
    </w:p>
    <w:bookmarkEnd w:id="65"/>
    <w:bookmarkStart w:name="05caa57597be40773ce3fe5385848f26" w:id="66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EL: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Electroluminescence，电致发光测试，用于检测隐裂。</w:t>
      </w:r>
    </w:p>
    <w:bookmarkEnd w:id="66"/>
    <w:bookmarkStart w:name="e9e405a3c2c5d6af6078232c3dec0802" w:id="67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Pmax / Voc / Isc: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分别代表组件最大功率、开路电压、短路电流。</w:t>
      </w:r>
    </w:p>
    <w:bookmarkEnd w:id="67"/>
    <w:bookmarkStart w:name="3cafe361a5afde9877c8266a7f5fa59c" w:id="68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LoRaWAN: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基于LoRa技术的低功耗广域网协议。</w:t>
      </w:r>
    </w:p>
    <w:bookmarkEnd w:id="68"/>
    <w:bookmarkStart w:name="8c76b25de2ef56e70f9e5499ab2fdecd" w:id="69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Block: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子阵/方阵，指由多个组串组成的光伏发电子单元。</w:t>
      </w:r>
    </w:p>
    <w:bookmarkEnd w:id="69"/>
    <w:bookmarkStart w:name="e7311e74cb54954c135ed406a5a4e9bf" w:id="70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LCOE: Levelized Cost of Energy，平准化度电成本。</w:t>
      </w:r>
    </w:p>
    <w:bookmarkEnd w:id="70"/>
    <w:bookmarkStart w:name="0916f805c5a420b0611ebf6a33f41223" w:id="71"/>
    <w:p>
      <w:pPr>
        <w:spacing w:after="50" w:line="360" w:lineRule="auto" w:beforeLines="100"/>
        <w:ind w:left="0"/>
        <w:jc w:val="left"/>
      </w:pPr>
      <w:bookmarkStart w:name="DNRhl" w:id="72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2"/>
    </w:p>
    <w:bookmarkEnd w:id="71"/>
    <w:bookmarkStart w:name="u00872bd5" w:id="73"/>
    <w:p>
      <w:pPr>
        <w:spacing w:after="50" w:line="360" w:lineRule="auto" w:beforeLines="100"/>
        <w:ind w:left="0"/>
        <w:jc w:val="left"/>
      </w:pPr>
      <w:bookmarkStart w:name="J96Mf" w:id="74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4"/>
      <w:bookmarkStart w:name="FqXNE" w:id="75"/>
      <w:r>
        <w:rPr>
          <w:rFonts w:eastAsia="宋体" w:ascii="宋体"/>
        </w:rPr>
        <w:drawing>
          <wp:inline distT="0" distB="0" distL="0" distR="0">
            <wp:extent cx="5842000" cy="47260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5"/>
    </w:p>
    <w:bookmarkEnd w:id="73"/>
    <w:bookmarkStart w:name="uf65c4dbd" w:id="76"/>
    <w:p>
      <w:pPr>
        <w:spacing w:after="50" w:line="360" w:lineRule="auto" w:beforeLines="100"/>
        <w:ind w:left="0"/>
        <w:jc w:val="left"/>
      </w:pPr>
      <w:bookmarkStart w:name="yb22h" w:id="77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7"/>
    </w:p>
    <w:bookmarkEnd w:id="76"/>
    <w:bookmarkStart w:name="u8613ee9a" w:id="78"/>
    <w:p>
      <w:pPr>
        <w:spacing w:after="50" w:line="360" w:lineRule="auto" w:beforeLines="100"/>
        <w:ind w:left="0"/>
        <w:jc w:val="left"/>
      </w:pPr>
      <w:bookmarkStart w:name="u1dea9933" w:id="79"/>
      <w:r>
        <w:rPr>
          <w:rFonts w:eastAsia="宋体" w:ascii="宋体"/>
        </w:rPr>
        <w:drawing>
          <wp:inline distT="0" distB="0" distL="0" distR="0">
            <wp:extent cx="5841999" cy="5257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690666" cy="20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9"/>
    </w:p>
    <w:bookmarkEnd w:id="78"/>
    <w:bookmarkStart w:name="u241b27be" w:id="80"/>
    <w:p>
      <w:pPr>
        <w:spacing w:after="50" w:line="360" w:lineRule="auto" w:beforeLines="100"/>
        <w:ind w:left="0"/>
        <w:jc w:val="left"/>
      </w:pPr>
      <w:bookmarkStart w:name="ud64d67fd" w:id="81"/>
      <w:r>
        <w:rPr>
          <w:rFonts w:eastAsia="宋体" w:ascii="宋体"/>
        </w:rPr>
        <w:drawing>
          <wp:inline distT="0" distB="0" distL="0" distR="0">
            <wp:extent cx="5842000" cy="126769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787868" cy="1384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1"/>
      <w:bookmarkStart w:name="ub7dcf2ec" w:id="82"/>
      <w:r>
        <w:rPr>
          <w:rFonts w:eastAsia="宋体" w:ascii="宋体"/>
        </w:rPr>
        <w:drawing>
          <wp:inline distT="0" distB="0" distL="0" distR="0">
            <wp:extent cx="5842000" cy="12969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568668" cy="1389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2"/>
      <w:bookmarkStart w:name="u2398ac55" w:id="83"/>
      <w:r>
        <w:rPr>
          <w:rFonts w:eastAsia="宋体" w:ascii="宋体"/>
        </w:rPr>
        <w:drawing>
          <wp:inline distT="0" distB="0" distL="0" distR="0">
            <wp:extent cx="5842000" cy="130860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213068" cy="1393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3"/>
      <w:bookmarkStart w:name="uc81c9848" w:id="84"/>
      <w:r>
        <w:rPr>
          <w:rFonts w:eastAsia="宋体" w:ascii="宋体"/>
        </w:rPr>
        <w:drawing>
          <wp:inline distT="0" distB="0" distL="0" distR="0">
            <wp:extent cx="5842000" cy="129691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670268" cy="1391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4"/>
      <w:bookmarkStart w:name="u2876e56b" w:id="85"/>
      <w:r>
        <w:rPr>
          <w:rFonts w:eastAsia="宋体" w:ascii="宋体"/>
        </w:rPr>
        <w:drawing>
          <wp:inline distT="0" distB="0" distL="0" distR="0">
            <wp:extent cx="5842000" cy="602879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600267" cy="109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5"/>
    </w:p>
    <w:bookmarkEnd w:id="80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25" Target="media/document_image_rId25.png" Type="http://schemas.openxmlformats.org/officeDocument/2006/relationships/image"/><Relationship Id="rId26" Target="media/document_image_rId26.png" Type="http://schemas.openxmlformats.org/officeDocument/2006/relationships/image"/><Relationship Id="rId27" Target="media/document_image_rId27.png" Type="http://schemas.openxmlformats.org/officeDocument/2006/relationships/image"/><Relationship Id="rId28" Target="media/document_image_rId28.png" Type="http://schemas.openxmlformats.org/officeDocument/2006/relationships/image"/><Relationship Id="rId29" Target="media/document_image_rId29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